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9" w:rsidRDefault="003037CD" w:rsidP="00957229">
      <w:pPr>
        <w:jc w:val="right"/>
      </w:pPr>
      <w:r>
        <w:t>Summer 2021</w:t>
      </w:r>
    </w:p>
    <w:p w:rsidR="00B5497C" w:rsidRDefault="007A2991" w:rsidP="003539CF">
      <w:pPr>
        <w:spacing w:after="0"/>
        <w:jc w:val="center"/>
      </w:pPr>
      <w:r>
        <w:t>S</w:t>
      </w:r>
      <w:r w:rsidR="00E731FB">
        <w:t>ervice Learning in Japan (J</w:t>
      </w:r>
      <w:r w:rsidR="00941442">
        <w:t>PN 3</w:t>
      </w:r>
      <w:r w:rsidR="00AB1EBD">
        <w:t>50</w:t>
      </w:r>
      <w:r>
        <w:t>)</w:t>
      </w:r>
    </w:p>
    <w:p w:rsidR="003539CF" w:rsidRDefault="003037CD" w:rsidP="007A2991">
      <w:pPr>
        <w:jc w:val="center"/>
      </w:pPr>
      <w:r>
        <w:t>May 26 to June 26</w:t>
      </w:r>
      <w:r w:rsidR="003B006C">
        <w:t>, 2020</w:t>
      </w:r>
    </w:p>
    <w:p w:rsidR="00F0721D" w:rsidRDefault="00F0721D" w:rsidP="00F0721D">
      <w:pPr>
        <w:spacing w:after="0"/>
        <w:jc w:val="center"/>
      </w:pPr>
      <w:r>
        <w:t>Masahiro Hara</w:t>
      </w:r>
    </w:p>
    <w:p w:rsidR="00F0721D" w:rsidRDefault="00F0721D" w:rsidP="00F0721D">
      <w:pPr>
        <w:spacing w:after="0"/>
        <w:jc w:val="center"/>
      </w:pPr>
      <w:r>
        <w:t xml:space="preserve"> Professor of Japanese</w:t>
      </w:r>
      <w:r>
        <w:tab/>
      </w:r>
      <w:r>
        <w:tab/>
        <w:t>mhara@truman.edu</w:t>
      </w:r>
    </w:p>
    <w:p w:rsidR="00F0721D" w:rsidRDefault="00F0721D" w:rsidP="00F0721D">
      <w:pPr>
        <w:jc w:val="center"/>
      </w:pPr>
      <w:r>
        <w:t>McClain Hall 315</w:t>
      </w:r>
      <w:r>
        <w:tab/>
        <w:t xml:space="preserve">     (660) 785-4518</w:t>
      </w:r>
    </w:p>
    <w:p w:rsidR="00717AB4" w:rsidRDefault="003B34B5">
      <w:r>
        <w:rPr>
          <w:b/>
        </w:rPr>
        <w:t>Course Description</w:t>
      </w:r>
      <w:r>
        <w:t>:</w:t>
      </w:r>
      <w:r w:rsidR="00235C71">
        <w:t xml:space="preserve"> </w:t>
      </w:r>
      <w:r w:rsidR="0085326E">
        <w:t xml:space="preserve">This three-credit, four-week long course combines service learning and study abroad.  It offers </w:t>
      </w:r>
      <w:r w:rsidR="009C7FD3">
        <w:t xml:space="preserve">an </w:t>
      </w:r>
      <w:r w:rsidR="0085326E">
        <w:t xml:space="preserve">opportunity to </w:t>
      </w:r>
      <w:bookmarkStart w:id="0" w:name="_GoBack"/>
      <w:r w:rsidR="0085326E">
        <w:t xml:space="preserve">teach English </w:t>
      </w:r>
      <w:r w:rsidR="007921AD">
        <w:t xml:space="preserve">at </w:t>
      </w:r>
      <w:r w:rsidR="007921AD">
        <w:rPr>
          <w:i/>
        </w:rPr>
        <w:t>Nishi</w:t>
      </w:r>
      <w:r w:rsidR="007921AD">
        <w:t xml:space="preserve"> High School </w:t>
      </w:r>
      <w:r w:rsidR="0085326E">
        <w:t xml:space="preserve">and </w:t>
      </w:r>
      <w:r w:rsidR="007921AD">
        <w:t xml:space="preserve">Kyoto University of Foreign Studies (KUFS) </w:t>
      </w:r>
      <w:r w:rsidR="005927DF">
        <w:t>while</w:t>
      </w:r>
      <w:r w:rsidR="00D72D47">
        <w:t xml:space="preserve"> being fully immersed in </w:t>
      </w:r>
      <w:r w:rsidR="005927DF">
        <w:t xml:space="preserve">the </w:t>
      </w:r>
      <w:r w:rsidR="00D72D47">
        <w:t>Japanese society</w:t>
      </w:r>
      <w:r w:rsidR="0085326E">
        <w:t xml:space="preserve">.  </w:t>
      </w:r>
      <w:bookmarkEnd w:id="0"/>
      <w:r w:rsidR="00A20B23">
        <w:t xml:space="preserve">Students </w:t>
      </w:r>
      <w:r w:rsidR="0037561A">
        <w:t xml:space="preserve">1) </w:t>
      </w:r>
      <w:r w:rsidR="00A20B23">
        <w:t xml:space="preserve">assist </w:t>
      </w:r>
      <w:r w:rsidR="00C041E1">
        <w:t xml:space="preserve">Japanese teachers of English </w:t>
      </w:r>
      <w:r w:rsidR="00A20B23">
        <w:t xml:space="preserve">in </w:t>
      </w:r>
      <w:r w:rsidR="0037561A">
        <w:t xml:space="preserve">regular </w:t>
      </w:r>
      <w:r w:rsidR="00A20B23">
        <w:t>class</w:t>
      </w:r>
      <w:r w:rsidR="0037561A">
        <w:t>es</w:t>
      </w:r>
      <w:r w:rsidR="00A20B23">
        <w:t xml:space="preserve"> </w:t>
      </w:r>
      <w:r w:rsidR="0037561A">
        <w:t xml:space="preserve">and 2) </w:t>
      </w:r>
      <w:r w:rsidR="00A20B23">
        <w:t xml:space="preserve">conduct </w:t>
      </w:r>
      <w:r w:rsidR="009C7FD3">
        <w:t xml:space="preserve">lessons while </w:t>
      </w:r>
      <w:r w:rsidR="00A20B23">
        <w:t xml:space="preserve">in </w:t>
      </w:r>
      <w:r w:rsidR="005927DF">
        <w:t xml:space="preserve">full </w:t>
      </w:r>
      <w:r w:rsidR="00A20B23">
        <w:t>charge</w:t>
      </w:r>
      <w:r w:rsidR="009C7FD3">
        <w:t xml:space="preserve"> of the class</w:t>
      </w:r>
      <w:r w:rsidR="00A20B23">
        <w:t xml:space="preserve">.  </w:t>
      </w:r>
      <w:r w:rsidR="007921AD">
        <w:t xml:space="preserve">Additionally, </w:t>
      </w:r>
      <w:r w:rsidR="003A1E73">
        <w:t>students</w:t>
      </w:r>
      <w:r w:rsidR="007921AD">
        <w:t xml:space="preserve"> are encouraged to offer help to students </w:t>
      </w:r>
      <w:r w:rsidR="00525ADB">
        <w:t>in</w:t>
      </w:r>
      <w:r w:rsidR="007921AD">
        <w:t xml:space="preserve"> upper-level courses and to participate</w:t>
      </w:r>
      <w:r w:rsidR="00A20B23">
        <w:t xml:space="preserve"> in extra-curricular activities</w:t>
      </w:r>
      <w:r w:rsidR="00525ADB">
        <w:t xml:space="preserve"> at KUFS</w:t>
      </w:r>
      <w:r w:rsidR="00A20B23">
        <w:t xml:space="preserve">.  </w:t>
      </w:r>
      <w:r w:rsidR="001E6CBB">
        <w:t xml:space="preserve">A Truman faculty </w:t>
      </w:r>
      <w:r w:rsidR="009C7FD3">
        <w:t>will accompany</w:t>
      </w:r>
      <w:r w:rsidR="001E6CBB">
        <w:t xml:space="preserve"> the</w:t>
      </w:r>
      <w:r w:rsidR="003A1E73">
        <w:t>m</w:t>
      </w:r>
      <w:r w:rsidR="001E6CBB">
        <w:t xml:space="preserve"> </w:t>
      </w:r>
      <w:r w:rsidR="007E206C">
        <w:t>throughout the program</w:t>
      </w:r>
      <w:r w:rsidR="00525ADB">
        <w:t>.</w:t>
      </w:r>
      <w:r w:rsidR="001E6CBB">
        <w:t xml:space="preserve"> </w:t>
      </w:r>
      <w:r w:rsidR="00525ADB">
        <w:t xml:space="preserve"> </w:t>
      </w:r>
      <w:r w:rsidR="007E206C">
        <w:t xml:space="preserve">In classes prior to departure, </w:t>
      </w:r>
      <w:r w:rsidR="003A1E73">
        <w:t>students</w:t>
      </w:r>
      <w:r w:rsidR="00525ADB">
        <w:t xml:space="preserve"> learn about </w:t>
      </w:r>
      <w:r w:rsidR="00B70F03">
        <w:t xml:space="preserve">teaching English </w:t>
      </w:r>
      <w:r w:rsidR="00525ADB">
        <w:t>at Japanese school</w:t>
      </w:r>
      <w:r w:rsidR="0037561A">
        <w:t>s</w:t>
      </w:r>
      <w:r w:rsidR="00525ADB">
        <w:t xml:space="preserve"> </w:t>
      </w:r>
      <w:r w:rsidR="00C041E1">
        <w:t xml:space="preserve">and </w:t>
      </w:r>
      <w:r w:rsidR="00525ADB">
        <w:t xml:space="preserve">about </w:t>
      </w:r>
      <w:r w:rsidR="00F320E9">
        <w:t>Japanese culture/</w:t>
      </w:r>
      <w:r w:rsidR="00B70F03">
        <w:t>society</w:t>
      </w:r>
      <w:r w:rsidR="00525ADB">
        <w:t xml:space="preserve">; </w:t>
      </w:r>
      <w:r w:rsidR="007E206C">
        <w:t xml:space="preserve">over the service learning, </w:t>
      </w:r>
      <w:r w:rsidR="00525ADB">
        <w:t xml:space="preserve">the students and faculty meet daily to discuss </w:t>
      </w:r>
      <w:r w:rsidR="007E206C">
        <w:t xml:space="preserve">their </w:t>
      </w:r>
      <w:r w:rsidR="00525ADB">
        <w:t>teaching experiences and amend their teaching</w:t>
      </w:r>
      <w:r w:rsidR="001E6CBB">
        <w:t>.</w:t>
      </w:r>
    </w:p>
    <w:p w:rsidR="00D72D47" w:rsidRDefault="00D72D47">
      <w:r w:rsidRPr="00D72D47">
        <w:rPr>
          <w:b/>
        </w:rPr>
        <w:t>Service Learning Sites</w:t>
      </w:r>
      <w:r>
        <w:t xml:space="preserve">: </w:t>
      </w:r>
      <w:r w:rsidR="00C041E1">
        <w:rPr>
          <w:i/>
        </w:rPr>
        <w:t>Nishi</w:t>
      </w:r>
      <w:r>
        <w:t xml:space="preserve"> High School</w:t>
      </w:r>
      <w:r w:rsidR="007921AD">
        <w:t>,</w:t>
      </w:r>
      <w:r>
        <w:t xml:space="preserve"> affiliated with Kyoto University of Foreign Studies</w:t>
      </w:r>
      <w:r w:rsidR="007921AD">
        <w:t>,</w:t>
      </w:r>
      <w:r>
        <w:t xml:space="preserve"> (</w:t>
      </w:r>
      <w:hyperlink r:id="rId7" w:history="1">
        <w:r w:rsidRPr="00EE7995">
          <w:rPr>
            <w:rStyle w:val="Hyperlink"/>
          </w:rPr>
          <w:t>http://kgn.kufs.ac.jp/</w:t>
        </w:r>
      </w:hyperlink>
      <w:r>
        <w:t>) and Kyoto University of Foreign Studies (</w:t>
      </w:r>
      <w:hyperlink r:id="rId8" w:history="1">
        <w:r w:rsidR="006E0702" w:rsidRPr="00EE7995">
          <w:rPr>
            <w:rStyle w:val="Hyperlink"/>
          </w:rPr>
          <w:t>http://www.kufs.ac.jp/en/</w:t>
        </w:r>
      </w:hyperlink>
      <w:r w:rsidR="006E0702">
        <w:t>)</w:t>
      </w:r>
      <w:r>
        <w:t>.</w:t>
      </w:r>
    </w:p>
    <w:p w:rsidR="003B34B5" w:rsidRDefault="003B34B5">
      <w:r>
        <w:rPr>
          <w:b/>
        </w:rPr>
        <w:t>Prerequisites</w:t>
      </w:r>
      <w:r>
        <w:t xml:space="preserve">: There is no prerequisite or language requirement.  </w:t>
      </w:r>
      <w:r w:rsidR="00270426">
        <w:t xml:space="preserve">Courses preferred to have been taken include </w:t>
      </w:r>
      <w:r w:rsidR="008B022C">
        <w:t xml:space="preserve">Japanese Language and Linguistics (JAPN 340), </w:t>
      </w:r>
      <w:r w:rsidR="00270426">
        <w:t>Introduction to Linguistics (LING 238), English Linguistics for the Classroom (LING 250), Principles of Second Language Teaching (CML/LING 308)</w:t>
      </w:r>
      <w:r w:rsidR="007D5934">
        <w:t>, or Practicum: Teaching English as a Second/Foreign Language (LIN 412)</w:t>
      </w:r>
      <w:r w:rsidR="00270426">
        <w:t>.</w:t>
      </w:r>
    </w:p>
    <w:p w:rsidR="00CE28A5" w:rsidRDefault="00AE15AB" w:rsidP="00CE28A5">
      <w:pPr>
        <w:spacing w:after="0"/>
      </w:pPr>
      <w:r w:rsidRPr="00AE15AB">
        <w:rPr>
          <w:b/>
        </w:rPr>
        <w:t>Credit Hours</w:t>
      </w:r>
      <w:r w:rsidR="00CE28A5" w:rsidRPr="00AE15AB">
        <w:t xml:space="preserve">: This </w:t>
      </w:r>
      <w:r w:rsidR="00173730">
        <w:t xml:space="preserve">three-credit </w:t>
      </w:r>
      <w:r>
        <w:t xml:space="preserve">service learning </w:t>
      </w:r>
      <w:r w:rsidR="00CE28A5" w:rsidRPr="00AE15AB">
        <w:t xml:space="preserve">course </w:t>
      </w:r>
      <w:r w:rsidR="00F320E9">
        <w:t>may count</w:t>
      </w:r>
      <w:r w:rsidR="00CE28A5" w:rsidRPr="00AE15AB">
        <w:t xml:space="preserve"> for </w:t>
      </w:r>
      <w:r>
        <w:t xml:space="preserve">a </w:t>
      </w:r>
      <w:r w:rsidR="00CE28A5" w:rsidRPr="00AE15AB">
        <w:t>Japanese Minor</w:t>
      </w:r>
      <w:r w:rsidR="00A71275">
        <w:t xml:space="preserve"> elective course</w:t>
      </w:r>
      <w:r w:rsidR="00DB14F5">
        <w:t>,</w:t>
      </w:r>
      <w:r>
        <w:t xml:space="preserve"> </w:t>
      </w:r>
      <w:r w:rsidR="00DB14F5">
        <w:rPr>
          <w:rFonts w:ascii="GoudyOlSt BT" w:hAnsi="GoudyOlSt BT"/>
          <w:sz w:val="22"/>
          <w:szCs w:val="22"/>
        </w:rPr>
        <w:t xml:space="preserve">the “Electives Courses” area of the BS </w:t>
      </w:r>
      <w:proofErr w:type="gramStart"/>
      <w:r w:rsidR="00DB14F5">
        <w:rPr>
          <w:rFonts w:ascii="GoudyOlSt BT" w:hAnsi="GoudyOlSt BT"/>
          <w:sz w:val="22"/>
          <w:szCs w:val="22"/>
        </w:rPr>
        <w:t>Linguistics  major</w:t>
      </w:r>
      <w:proofErr w:type="gramEnd"/>
      <w:r w:rsidR="00DB14F5">
        <w:rPr>
          <w:rFonts w:ascii="GoudyOlSt BT" w:hAnsi="GoudyOlSt BT"/>
          <w:sz w:val="22"/>
          <w:szCs w:val="22"/>
        </w:rPr>
        <w:t>, the “Program Requirements” area of the Linguistics Minor, or the “One of the following” area of the Applied Linguistics Minor</w:t>
      </w:r>
      <w:r w:rsidR="00CE28A5" w:rsidRPr="00117AAA">
        <w:t>.  It</w:t>
      </w:r>
      <w:r w:rsidR="00CE28A5" w:rsidRPr="00AE15AB">
        <w:t xml:space="preserve"> fulfills the Intercultural Interconnecting Perspective of the Liberal Studies Program.</w:t>
      </w:r>
    </w:p>
    <w:p w:rsidR="00CE28A5" w:rsidRDefault="00CE28A5" w:rsidP="00CE28A5">
      <w:pPr>
        <w:spacing w:after="0"/>
      </w:pPr>
    </w:p>
    <w:p w:rsidR="00941442" w:rsidRDefault="003B34B5" w:rsidP="000605CD">
      <w:pPr>
        <w:spacing w:after="0"/>
      </w:pPr>
      <w:r>
        <w:rPr>
          <w:b/>
        </w:rPr>
        <w:t>Course Objectives</w:t>
      </w:r>
      <w:r w:rsidR="000605CD">
        <w:t xml:space="preserve">: </w:t>
      </w:r>
      <w:r w:rsidR="00941442">
        <w:t>Enhancing global awareness is essential to Truman’s liberal art</w:t>
      </w:r>
      <w:r w:rsidR="00941442">
        <w:rPr>
          <w:rFonts w:hint="eastAsia"/>
        </w:rPr>
        <w:t>s</w:t>
      </w:r>
      <w:r w:rsidR="00941442">
        <w:t xml:space="preserve"> education.  This course provides opportunities for tran</w:t>
      </w:r>
      <w:r w:rsidR="00102D4F">
        <w:t>sformational experiences in this</w:t>
      </w:r>
      <w:r w:rsidR="00941442">
        <w:t xml:space="preserve"> area</w:t>
      </w:r>
      <w:r w:rsidR="00102D4F">
        <w:t>:</w:t>
      </w:r>
      <w:r w:rsidR="0017179A">
        <w:t xml:space="preserve"> students teach English to speakers of Japanese, a language diametrically different from English, in the Japanese society that </w:t>
      </w:r>
      <w:r w:rsidR="00E15419">
        <w:t>holds cultural norms markedly different from those in the US</w:t>
      </w:r>
      <w:r w:rsidR="00941442">
        <w:t xml:space="preserve">.  </w:t>
      </w:r>
      <w:r w:rsidR="003A1E73">
        <w:t>Moreover, b</w:t>
      </w:r>
      <w:r w:rsidR="003A0C09">
        <w:t xml:space="preserve">y </w:t>
      </w:r>
      <w:r w:rsidR="00102D4F">
        <w:t xml:space="preserve">way of </w:t>
      </w:r>
      <w:r w:rsidR="003A0C09">
        <w:t xml:space="preserve">coping with the linguistic and cultural </w:t>
      </w:r>
      <w:r w:rsidR="00CE71C0">
        <w:t>differences</w:t>
      </w:r>
      <w:r w:rsidR="003A0C09">
        <w:t xml:space="preserve">, students </w:t>
      </w:r>
      <w:r w:rsidR="00CE71C0">
        <w:t xml:space="preserve">improve </w:t>
      </w:r>
      <w:r w:rsidR="00790E84">
        <w:t xml:space="preserve">problem solving and communication skills.  Students can </w:t>
      </w:r>
      <w:r w:rsidR="00102D4F">
        <w:t xml:space="preserve">also </w:t>
      </w:r>
      <w:r w:rsidR="00790E84">
        <w:t xml:space="preserve">enhance their </w:t>
      </w:r>
      <w:r w:rsidR="00827357">
        <w:t>leadership</w:t>
      </w:r>
      <w:r w:rsidR="00790E84">
        <w:t xml:space="preserve"> ability</w:t>
      </w:r>
      <w:r w:rsidR="00CE71C0" w:rsidRPr="00CE71C0">
        <w:t xml:space="preserve"> </w:t>
      </w:r>
      <w:r w:rsidR="00CE71C0">
        <w:t>by conducting classes while fully in charge and</w:t>
      </w:r>
      <w:r w:rsidR="00790E84">
        <w:t xml:space="preserve"> by </w:t>
      </w:r>
      <w:r w:rsidR="009C7FD3">
        <w:t xml:space="preserve">making </w:t>
      </w:r>
      <w:r w:rsidR="00790E84">
        <w:t>unique contributions to extra-curricular activities.</w:t>
      </w:r>
      <w:r w:rsidR="00102D4F">
        <w:t xml:space="preserve">  Finally, t</w:t>
      </w:r>
      <w:r w:rsidR="005F2AC7">
        <w:t>he combination of academic and field experience</w:t>
      </w:r>
      <w:r w:rsidR="00102D4F">
        <w:t>s</w:t>
      </w:r>
      <w:r w:rsidR="005F2AC7">
        <w:t xml:space="preserve"> enables students to critically analyze the academic materials</w:t>
      </w:r>
      <w:r w:rsidR="001179D9">
        <w:t xml:space="preserve"> and learn to creatively apply them to the real world.</w:t>
      </w:r>
    </w:p>
    <w:p w:rsidR="003B34B5" w:rsidRPr="003B34B5" w:rsidRDefault="003B34B5" w:rsidP="003B34B5">
      <w:pPr>
        <w:spacing w:before="240" w:after="0"/>
      </w:pPr>
      <w:r>
        <w:rPr>
          <w:b/>
        </w:rPr>
        <w:lastRenderedPageBreak/>
        <w:t>Course Outcomes</w:t>
      </w:r>
      <w:r>
        <w:t>:</w:t>
      </w:r>
      <w:r w:rsidR="005F2AC7">
        <w:t xml:space="preserve"> By </w:t>
      </w:r>
      <w:r w:rsidR="005F0692">
        <w:t xml:space="preserve">teaching English to </w:t>
      </w:r>
      <w:r w:rsidR="009C7FD3">
        <w:t xml:space="preserve">Japanese </w:t>
      </w:r>
      <w:r w:rsidR="005F0692">
        <w:t xml:space="preserve">speakers at high school and college in Japan, students </w:t>
      </w:r>
      <w:r w:rsidR="009C7FD3">
        <w:t xml:space="preserve">will </w:t>
      </w:r>
      <w:r w:rsidR="005F0692">
        <w:t>demonstrate:</w:t>
      </w:r>
    </w:p>
    <w:p w:rsidR="00941442" w:rsidRDefault="009C7FD3" w:rsidP="00941442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16111A">
        <w:t xml:space="preserve">ability to linguistically analyze English and present that analysis in ways accessible to </w:t>
      </w:r>
      <w:r w:rsidR="00102D4F">
        <w:t xml:space="preserve">Japanese </w:t>
      </w:r>
      <w:r w:rsidR="0016111A">
        <w:t>high school and college learners;</w:t>
      </w:r>
    </w:p>
    <w:p w:rsidR="0016111A" w:rsidRDefault="009C7FD3" w:rsidP="00941442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16111A">
        <w:t xml:space="preserve">ability to </w:t>
      </w:r>
      <w:r w:rsidR="009B5247">
        <w:t xml:space="preserve">flexibly </w:t>
      </w:r>
      <w:r w:rsidR="0016111A">
        <w:t xml:space="preserve">apply teaching principles and techniques learned in class to </w:t>
      </w:r>
      <w:r w:rsidR="009B5247">
        <w:t>real-world learners;</w:t>
      </w:r>
    </w:p>
    <w:p w:rsidR="002762D0" w:rsidRDefault="009C7FD3" w:rsidP="00941442">
      <w:pPr>
        <w:pStyle w:val="ListParagraph"/>
        <w:numPr>
          <w:ilvl w:val="0"/>
          <w:numId w:val="2"/>
        </w:numPr>
        <w:spacing w:after="0"/>
      </w:pPr>
      <w:r>
        <w:t xml:space="preserve">the ability to adapt </w:t>
      </w:r>
      <w:r w:rsidR="00DD0A6F">
        <w:t xml:space="preserve">problem solving and communication skills while </w:t>
      </w:r>
      <w:r w:rsidR="00827357">
        <w:t>assisting Japanese teachers in teaching</w:t>
      </w:r>
      <w:r w:rsidR="00CE71C0">
        <w:t xml:space="preserve"> English</w:t>
      </w:r>
      <w:r w:rsidR="003A1E73">
        <w:t xml:space="preserve"> to Japanese learners</w:t>
      </w:r>
      <w:r w:rsidR="002A652B">
        <w:t>;</w:t>
      </w:r>
      <w:r w:rsidR="00ED3A72">
        <w:t xml:space="preserve"> and</w:t>
      </w:r>
    </w:p>
    <w:p w:rsidR="002A652B" w:rsidRPr="003B34B5" w:rsidRDefault="00964EE3" w:rsidP="00941442">
      <w:pPr>
        <w:pStyle w:val="ListParagraph"/>
        <w:numPr>
          <w:ilvl w:val="0"/>
          <w:numId w:val="2"/>
        </w:numPr>
        <w:spacing w:after="0"/>
      </w:pPr>
      <w:proofErr w:type="gramStart"/>
      <w:r>
        <w:t>the</w:t>
      </w:r>
      <w:proofErr w:type="gramEnd"/>
      <w:r>
        <w:t xml:space="preserve"> ability to lead </w:t>
      </w:r>
      <w:r w:rsidR="005E3CD3">
        <w:t xml:space="preserve">volunteer </w:t>
      </w:r>
      <w:r>
        <w:t xml:space="preserve">student </w:t>
      </w:r>
      <w:r w:rsidR="005E3CD3">
        <w:t xml:space="preserve">groups </w:t>
      </w:r>
      <w:r w:rsidR="007E206C">
        <w:t>by designing and teaching “mini-</w:t>
      </w:r>
      <w:r w:rsidR="005E3CD3">
        <w:t>classes</w:t>
      </w:r>
      <w:r w:rsidR="007E206C">
        <w:t>”</w:t>
      </w:r>
      <w:r w:rsidR="005E3CD3">
        <w:t xml:space="preserve"> fully in charge</w:t>
      </w:r>
      <w:r w:rsidR="00ED3A72">
        <w:t>.</w:t>
      </w:r>
    </w:p>
    <w:p w:rsidR="003B34B5" w:rsidRDefault="00ED3A72" w:rsidP="00ED3A72">
      <w:pPr>
        <w:spacing w:before="240" w:after="0"/>
      </w:pPr>
      <w:r>
        <w:rPr>
          <w:b/>
        </w:rPr>
        <w:t>Course</w:t>
      </w:r>
      <w:r w:rsidRPr="00201D46">
        <w:rPr>
          <w:b/>
        </w:rPr>
        <w:t xml:space="preserve"> Materials</w:t>
      </w:r>
      <w:r>
        <w:t>:</w:t>
      </w:r>
    </w:p>
    <w:p w:rsidR="00ED3A72" w:rsidRDefault="00ED3A72" w:rsidP="005E3CD3">
      <w:pPr>
        <w:pStyle w:val="ListParagraph"/>
        <w:numPr>
          <w:ilvl w:val="0"/>
          <w:numId w:val="5"/>
        </w:numPr>
        <w:spacing w:after="0"/>
      </w:pPr>
      <w:r>
        <w:t xml:space="preserve">The Japanese Mind: </w:t>
      </w:r>
      <w:r w:rsidRPr="00ED3A72">
        <w:t>Understanding contemporary Japanese culture</w:t>
      </w:r>
      <w:r>
        <w:t xml:space="preserve">. Roger Davies and Osamu </w:t>
      </w:r>
      <w:proofErr w:type="spellStart"/>
      <w:r>
        <w:t>Ikeno</w:t>
      </w:r>
      <w:proofErr w:type="spellEnd"/>
      <w:r>
        <w:t>. Tuttle, 2002;</w:t>
      </w:r>
    </w:p>
    <w:p w:rsidR="005E3CD3" w:rsidRDefault="005E3CD3" w:rsidP="005E3CD3">
      <w:pPr>
        <w:pStyle w:val="ListParagraph"/>
        <w:numPr>
          <w:ilvl w:val="0"/>
          <w:numId w:val="5"/>
        </w:numPr>
        <w:spacing w:after="0"/>
      </w:pPr>
      <w:r w:rsidRPr="00620B88">
        <w:t>Techniques and principles in language teaching</w:t>
      </w:r>
      <w:r>
        <w:t xml:space="preserve"> (3</w:t>
      </w:r>
      <w:r w:rsidRPr="00620B88">
        <w:rPr>
          <w:vertAlign w:val="superscript"/>
        </w:rPr>
        <w:t>rd</w:t>
      </w:r>
      <w:r>
        <w:t xml:space="preserve"> edition). </w:t>
      </w:r>
      <w:r w:rsidRPr="00620B88">
        <w:t>Diane</w:t>
      </w:r>
      <w:r>
        <w:t xml:space="preserve"> Larsen-Freeman &amp; </w:t>
      </w:r>
      <w:r w:rsidRPr="00620B88">
        <w:t>Marti</w:t>
      </w:r>
      <w:r>
        <w:t xml:space="preserve"> Anderson. </w:t>
      </w:r>
      <w:r w:rsidRPr="00620B88">
        <w:t>Oxford University Press</w:t>
      </w:r>
      <w:r>
        <w:t>, 2011;</w:t>
      </w:r>
    </w:p>
    <w:p w:rsidR="005E3CD3" w:rsidRDefault="005E3CD3" w:rsidP="005E3CD3">
      <w:pPr>
        <w:pStyle w:val="ListParagraph"/>
        <w:numPr>
          <w:ilvl w:val="0"/>
          <w:numId w:val="5"/>
        </w:numPr>
        <w:spacing w:after="0"/>
      </w:pPr>
      <w:r>
        <w:t>Course packet/handouts, including “The Monitor Model” in Second language acquisition: An introductory course (4</w:t>
      </w:r>
      <w:r w:rsidRPr="00D60B42">
        <w:rPr>
          <w:vertAlign w:val="superscript"/>
        </w:rPr>
        <w:t>th</w:t>
      </w:r>
      <w:r>
        <w:t xml:space="preserve"> ed.), Susan </w:t>
      </w:r>
      <w:proofErr w:type="spellStart"/>
      <w:r>
        <w:t>Gass</w:t>
      </w:r>
      <w:proofErr w:type="spellEnd"/>
      <w:r>
        <w:t>, “Phonetics” in An introduction to Japanese linguistics (3</w:t>
      </w:r>
      <w:r w:rsidRPr="002A0A40">
        <w:rPr>
          <w:vertAlign w:val="superscript"/>
        </w:rPr>
        <w:t>rd</w:t>
      </w:r>
      <w:r>
        <w:t xml:space="preserve"> ed.), </w:t>
      </w:r>
      <w:proofErr w:type="spellStart"/>
      <w:r>
        <w:t>Natsuko</w:t>
      </w:r>
      <w:proofErr w:type="spellEnd"/>
      <w:r>
        <w:t xml:space="preserve"> </w:t>
      </w:r>
      <w:proofErr w:type="spellStart"/>
      <w:r>
        <w:t>Tsujimura</w:t>
      </w:r>
      <w:proofErr w:type="spellEnd"/>
      <w:r>
        <w:t>; and</w:t>
      </w:r>
    </w:p>
    <w:p w:rsidR="00006CAC" w:rsidRDefault="00006CAC" w:rsidP="00DB66E2">
      <w:pPr>
        <w:pStyle w:val="ListParagraph"/>
        <w:numPr>
          <w:ilvl w:val="0"/>
          <w:numId w:val="5"/>
        </w:numPr>
      </w:pPr>
      <w:r>
        <w:t>Online resources:</w:t>
      </w:r>
    </w:p>
    <w:p w:rsidR="00006CAC" w:rsidRDefault="005E3CD3" w:rsidP="00006CAC">
      <w:pPr>
        <w:pStyle w:val="ListParagraph"/>
      </w:pPr>
      <w:r>
        <w:t xml:space="preserve">a) The </w:t>
      </w:r>
      <w:r w:rsidR="00A22263">
        <w:t>Japan Exchange and Teaching (</w:t>
      </w:r>
      <w:r>
        <w:t>JET</w:t>
      </w:r>
      <w:r w:rsidR="00A22263">
        <w:t>)</w:t>
      </w:r>
      <w:r>
        <w:t xml:space="preserve"> program </w:t>
      </w:r>
      <w:r w:rsidR="00A22263">
        <w:t>teaching resources website (</w:t>
      </w:r>
      <w:hyperlink r:id="rId9" w:history="1">
        <w:r w:rsidR="00A22263" w:rsidRPr="00DA5607">
          <w:rPr>
            <w:rStyle w:val="Hyperlink"/>
          </w:rPr>
          <w:t>https://www.tofugu.com/japan/jet-program-teaching-resources/</w:t>
        </w:r>
      </w:hyperlink>
      <w:r>
        <w:t>)</w:t>
      </w:r>
      <w:r w:rsidR="00006CAC">
        <w:t>;</w:t>
      </w:r>
    </w:p>
    <w:p w:rsidR="00006CAC" w:rsidRDefault="00494845" w:rsidP="00006CAC">
      <w:pPr>
        <w:pStyle w:val="ListParagraph"/>
      </w:pPr>
      <w:proofErr w:type="gramStart"/>
      <w:r>
        <w:t xml:space="preserve">b) </w:t>
      </w:r>
      <w:r w:rsidRPr="00A22263">
        <w:t>Tips For Teaching English</w:t>
      </w:r>
      <w:proofErr w:type="gramEnd"/>
      <w:r w:rsidRPr="00A22263">
        <w:t xml:space="preserve"> to Japanese Students</w:t>
      </w:r>
      <w:r>
        <w:t xml:space="preserve"> (</w:t>
      </w:r>
      <w:hyperlink r:id="rId10" w:history="1">
        <w:r w:rsidRPr="00DE1C51">
          <w:rPr>
            <w:rStyle w:val="Hyperlink"/>
          </w:rPr>
          <w:t>http://swikee.com/blog/tips-for-teaching-english-to-japanese-students/</w:t>
        </w:r>
      </w:hyperlink>
      <w:r w:rsidR="00006CAC">
        <w:t>);</w:t>
      </w:r>
    </w:p>
    <w:p w:rsidR="005E3CD3" w:rsidRDefault="00494845" w:rsidP="00006CAC">
      <w:pPr>
        <w:pStyle w:val="ListParagraph"/>
      </w:pPr>
      <w:r>
        <w:t>c</w:t>
      </w:r>
      <w:r w:rsidR="00A22263">
        <w:t xml:space="preserve">) </w:t>
      </w:r>
      <w:r w:rsidR="00A22263" w:rsidRPr="00A22263">
        <w:t>Teaching Resources and Links on the Internet</w:t>
      </w:r>
      <w:r w:rsidR="00A22263">
        <w:t xml:space="preserve"> (</w:t>
      </w:r>
      <w:hyperlink r:id="rId11" w:history="1">
        <w:r w:rsidR="00A22263" w:rsidRPr="00DA5607">
          <w:rPr>
            <w:rStyle w:val="Hyperlink"/>
          </w:rPr>
          <w:t>http://www.gifu-net.ed.jp/kyoka/eigo/CommunicativeEnglish/04-25Teaching%20Resources%20and%20Links.htm</w:t>
        </w:r>
      </w:hyperlink>
      <w:r>
        <w:t>).</w:t>
      </w:r>
    </w:p>
    <w:p w:rsidR="00A22263" w:rsidRPr="00DB66E2" w:rsidRDefault="00DB66E2" w:rsidP="00B764C8">
      <w:pPr>
        <w:tabs>
          <w:tab w:val="left" w:pos="1832"/>
        </w:tabs>
        <w:rPr>
          <w:b/>
        </w:rPr>
      </w:pPr>
      <w:r>
        <w:rPr>
          <w:b/>
        </w:rPr>
        <w:t>Course Requirements:</w:t>
      </w:r>
    </w:p>
    <w:p w:rsidR="00DB66E2" w:rsidRDefault="00705EF0" w:rsidP="00DB66E2">
      <w:pPr>
        <w:tabs>
          <w:tab w:val="left" w:pos="1832"/>
        </w:tabs>
      </w:pPr>
      <w:r>
        <w:t>1</w:t>
      </w:r>
      <w:r w:rsidR="00DB66E2">
        <w:t xml:space="preserve">) </w:t>
      </w:r>
      <w:r w:rsidR="00DB66E2">
        <w:rPr>
          <w:u w:val="single"/>
        </w:rPr>
        <w:t>Daily a</w:t>
      </w:r>
      <w:r w:rsidR="00DB66E2" w:rsidRPr="00F87E96">
        <w:rPr>
          <w:u w:val="single"/>
        </w:rPr>
        <w:t xml:space="preserve">ssistant </w:t>
      </w:r>
      <w:r w:rsidR="00DB66E2">
        <w:rPr>
          <w:u w:val="single"/>
        </w:rPr>
        <w:t>l</w:t>
      </w:r>
      <w:r w:rsidR="00DB66E2" w:rsidRPr="00F87E96">
        <w:rPr>
          <w:u w:val="single"/>
        </w:rPr>
        <w:t xml:space="preserve">anguage </w:t>
      </w:r>
      <w:r w:rsidR="00DB66E2">
        <w:rPr>
          <w:u w:val="single"/>
        </w:rPr>
        <w:t>t</w:t>
      </w:r>
      <w:r w:rsidR="00DB66E2" w:rsidRPr="00F87E96">
        <w:rPr>
          <w:u w:val="single"/>
        </w:rPr>
        <w:t xml:space="preserve">eacher </w:t>
      </w:r>
      <w:r w:rsidR="00DB66E2">
        <w:rPr>
          <w:u w:val="single"/>
        </w:rPr>
        <w:t>(ALT) service</w:t>
      </w:r>
      <w:r w:rsidR="00DB66E2">
        <w:t xml:space="preserve">: </w:t>
      </w:r>
      <w:r w:rsidR="00622C7B">
        <w:t>S</w:t>
      </w:r>
      <w:r w:rsidR="00DB66E2">
        <w:t>tudent</w:t>
      </w:r>
      <w:r w:rsidR="00622C7B">
        <w:t>s assist</w:t>
      </w:r>
      <w:r w:rsidR="00DB66E2">
        <w:t xml:space="preserve"> Japanese </w:t>
      </w:r>
      <w:r w:rsidR="0022446E">
        <w:t>teachers</w:t>
      </w:r>
      <w:r w:rsidR="00DB66E2">
        <w:t xml:space="preserve"> of English in classroom activities, </w:t>
      </w:r>
      <w:r w:rsidR="00B41AE4">
        <w:t xml:space="preserve">those involving </w:t>
      </w:r>
      <w:r w:rsidR="003B0439">
        <w:t>listening</w:t>
      </w:r>
      <w:r w:rsidR="00B41AE4">
        <w:t>,</w:t>
      </w:r>
      <w:r w:rsidR="003B0439">
        <w:t xml:space="preserve"> </w:t>
      </w:r>
      <w:r w:rsidR="00B41AE4">
        <w:t>speaking, and writing</w:t>
      </w:r>
      <w:r w:rsidR="003B0439">
        <w:t xml:space="preserve"> </w:t>
      </w:r>
      <w:r w:rsidR="000F43CD">
        <w:t>both in teacher-fronted teaching and individual consultation</w:t>
      </w:r>
      <w:r w:rsidR="00DB66E2">
        <w:t xml:space="preserve">.  </w:t>
      </w:r>
      <w:r w:rsidR="0022446E">
        <w:t>S</w:t>
      </w:r>
      <w:r w:rsidR="00DB66E2">
        <w:t>tudent</w:t>
      </w:r>
      <w:r w:rsidR="00622C7B">
        <w:t>s</w:t>
      </w:r>
      <w:r w:rsidR="00DB66E2">
        <w:t xml:space="preserve"> </w:t>
      </w:r>
      <w:r w:rsidR="0022446E">
        <w:t xml:space="preserve">work </w:t>
      </w:r>
      <w:r w:rsidR="000F43CD">
        <w:t xml:space="preserve">closely </w:t>
      </w:r>
      <w:r w:rsidR="00DB66E2">
        <w:t>with the</w:t>
      </w:r>
      <w:r w:rsidR="0022446E">
        <w:t>ir</w:t>
      </w:r>
      <w:r w:rsidR="00DB66E2">
        <w:t xml:space="preserve"> Japanese </w:t>
      </w:r>
      <w:r w:rsidR="0022446E">
        <w:t xml:space="preserve">teachers </w:t>
      </w:r>
      <w:r w:rsidR="000F43CD">
        <w:t>at host institutions</w:t>
      </w:r>
      <w:r w:rsidR="0022446E">
        <w:t xml:space="preserve"> and</w:t>
      </w:r>
      <w:r w:rsidR="00622C7B">
        <w:t xml:space="preserve"> </w:t>
      </w:r>
      <w:r w:rsidR="0022446E">
        <w:t xml:space="preserve">their </w:t>
      </w:r>
      <w:r w:rsidR="00DB66E2">
        <w:t xml:space="preserve">service </w:t>
      </w:r>
      <w:r w:rsidR="0022446E">
        <w:t xml:space="preserve">teaching </w:t>
      </w:r>
      <w:r w:rsidR="00DB66E2">
        <w:t>is regularly evaluated by the Truman faculty.</w:t>
      </w:r>
    </w:p>
    <w:p w:rsidR="00B764C8" w:rsidRDefault="00705EF0" w:rsidP="007825D5">
      <w:pPr>
        <w:tabs>
          <w:tab w:val="left" w:pos="1832"/>
        </w:tabs>
      </w:pPr>
      <w:r>
        <w:t>2</w:t>
      </w:r>
      <w:r w:rsidR="007825D5">
        <w:t xml:space="preserve">) </w:t>
      </w:r>
      <w:r w:rsidR="0022446E" w:rsidRPr="0022446E">
        <w:rPr>
          <w:u w:val="single"/>
        </w:rPr>
        <w:t>Teaching th</w:t>
      </w:r>
      <w:r w:rsidR="0022446E">
        <w:rPr>
          <w:u w:val="single"/>
        </w:rPr>
        <w:t>ree</w:t>
      </w:r>
      <w:r w:rsidR="007825D5" w:rsidRPr="007825D5">
        <w:rPr>
          <w:u w:val="single"/>
        </w:rPr>
        <w:t xml:space="preserve"> </w:t>
      </w:r>
      <w:r w:rsidR="0022446E" w:rsidRPr="0022446E">
        <w:rPr>
          <w:u w:val="single"/>
        </w:rPr>
        <w:t>“mini-classes”</w:t>
      </w:r>
      <w:r w:rsidR="007825D5">
        <w:t xml:space="preserve">: </w:t>
      </w:r>
      <w:r w:rsidR="0022446E">
        <w:t>S</w:t>
      </w:r>
      <w:r w:rsidR="00DF30AE">
        <w:t>tudent</w:t>
      </w:r>
      <w:r w:rsidR="00622C7B">
        <w:t>s</w:t>
      </w:r>
      <w:r w:rsidR="007825D5">
        <w:t xml:space="preserve"> teach </w:t>
      </w:r>
      <w:r>
        <w:t>three</w:t>
      </w:r>
      <w:r w:rsidR="007825D5">
        <w:t xml:space="preserve"> </w:t>
      </w:r>
      <w:r w:rsidR="00DB66E2">
        <w:t>“mini-</w:t>
      </w:r>
      <w:r w:rsidR="007825D5">
        <w:t>classes</w:t>
      </w:r>
      <w:r>
        <w:t>”</w:t>
      </w:r>
      <w:r w:rsidR="007825D5">
        <w:t xml:space="preserve"> </w:t>
      </w:r>
      <w:r w:rsidR="00AE2D8C">
        <w:t xml:space="preserve">while </w:t>
      </w:r>
      <w:r w:rsidR="007825D5">
        <w:t xml:space="preserve">fully in charge: a class </w:t>
      </w:r>
      <w:r w:rsidR="00DF30AE">
        <w:t xml:space="preserve">consists of volunteer high school students recruited </w:t>
      </w:r>
      <w:r w:rsidR="007825D5">
        <w:t xml:space="preserve">for this service teaching experience.  </w:t>
      </w:r>
      <w:r w:rsidR="0022446E">
        <w:t>Students</w:t>
      </w:r>
      <w:r w:rsidR="00622C7B">
        <w:t xml:space="preserve"> select</w:t>
      </w:r>
      <w:r w:rsidR="00DF30AE">
        <w:t xml:space="preserve"> a teaching topic, makes</w:t>
      </w:r>
      <w:r w:rsidR="00F87E96">
        <w:t xml:space="preserve"> a teaching plan, </w:t>
      </w:r>
      <w:r w:rsidR="00DF30AE">
        <w:t>prepare</w:t>
      </w:r>
      <w:r w:rsidR="00AE2D8C">
        <w:t>s</w:t>
      </w:r>
      <w:r w:rsidR="00F87E96">
        <w:t xml:space="preserve"> teaching materials, </w:t>
      </w:r>
      <w:r w:rsidR="00DF30AE">
        <w:t>and teach</w:t>
      </w:r>
      <w:r w:rsidR="00AE2D8C">
        <w:t>es</w:t>
      </w:r>
      <w:r w:rsidR="00DF30AE">
        <w:t xml:space="preserve"> the class in consultation</w:t>
      </w:r>
      <w:r w:rsidR="00F87E96">
        <w:t xml:space="preserve"> with both Truman and host institution faculty.</w:t>
      </w:r>
    </w:p>
    <w:p w:rsidR="00FF52FA" w:rsidRDefault="00B41AE4" w:rsidP="00FF52FA">
      <w:pPr>
        <w:tabs>
          <w:tab w:val="left" w:pos="887"/>
        </w:tabs>
      </w:pPr>
      <w:r>
        <w:t>3</w:t>
      </w:r>
      <w:r w:rsidR="00FF52FA">
        <w:t xml:space="preserve">) </w:t>
      </w:r>
      <w:r>
        <w:rPr>
          <w:u w:val="single"/>
        </w:rPr>
        <w:t>Journal</w:t>
      </w:r>
      <w:r w:rsidR="00FF52FA">
        <w:t xml:space="preserve">: </w:t>
      </w:r>
      <w:r w:rsidR="0022446E">
        <w:t>S</w:t>
      </w:r>
      <w:r w:rsidR="003C35A7">
        <w:t>tudent</w:t>
      </w:r>
      <w:r w:rsidR="00622C7B">
        <w:t>s</w:t>
      </w:r>
      <w:r w:rsidR="003C35A7">
        <w:t xml:space="preserve"> </w:t>
      </w:r>
      <w:r w:rsidR="00622C7B">
        <w:t>keep</w:t>
      </w:r>
      <w:r>
        <w:t xml:space="preserve"> a journal to record </w:t>
      </w:r>
      <w:r w:rsidR="00FF52FA">
        <w:t xml:space="preserve">on </w:t>
      </w:r>
      <w:r w:rsidR="00622C7B">
        <w:t xml:space="preserve">their </w:t>
      </w:r>
      <w:r w:rsidR="003C35A7">
        <w:t xml:space="preserve">teaching and cultural </w:t>
      </w:r>
      <w:r w:rsidR="00FF52FA">
        <w:t xml:space="preserve">experiences as an ALT. </w:t>
      </w:r>
      <w:r>
        <w:t xml:space="preserve"> R</w:t>
      </w:r>
      <w:r w:rsidR="003C35A7">
        <w:t xml:space="preserve">eflections and observations </w:t>
      </w:r>
      <w:r>
        <w:t>should</w:t>
      </w:r>
      <w:r w:rsidR="00FF52FA">
        <w:t xml:space="preserve"> </w:t>
      </w:r>
      <w:r>
        <w:t xml:space="preserve">make reference </w:t>
      </w:r>
      <w:r w:rsidR="00FF52FA">
        <w:t xml:space="preserve">to </w:t>
      </w:r>
      <w:r w:rsidR="00622C7B">
        <w:t>the readings</w:t>
      </w:r>
      <w:r>
        <w:t xml:space="preserve"> </w:t>
      </w:r>
      <w:r w:rsidR="00622C7B">
        <w:t xml:space="preserve">on teaching, culture </w:t>
      </w:r>
      <w:r w:rsidR="00622C7B">
        <w:lastRenderedPageBreak/>
        <w:t xml:space="preserve">and society during the pre-service </w:t>
      </w:r>
      <w:r>
        <w:t>class</w:t>
      </w:r>
      <w:r w:rsidR="00622C7B">
        <w:t>es</w:t>
      </w:r>
      <w:r w:rsidR="00FF52FA">
        <w:t>.</w:t>
      </w:r>
      <w:r w:rsidR="00546E8B">
        <w:t xml:space="preserve">  </w:t>
      </w:r>
      <w:r>
        <w:t xml:space="preserve">Write </w:t>
      </w:r>
      <w:r w:rsidR="003037CD">
        <w:t>about two or three teaching episodes and two cultural observations per week</w:t>
      </w:r>
      <w:r w:rsidR="00546E8B">
        <w:t>.</w:t>
      </w:r>
    </w:p>
    <w:p w:rsidR="00BB126A" w:rsidRDefault="001854AE" w:rsidP="00FF52FA">
      <w:pPr>
        <w:tabs>
          <w:tab w:val="left" w:pos="887"/>
        </w:tabs>
      </w:pPr>
      <w:r>
        <w:t>4</w:t>
      </w:r>
      <w:r w:rsidR="00FF52FA">
        <w:t xml:space="preserve">) </w:t>
      </w:r>
      <w:r w:rsidR="00FF52FA" w:rsidRPr="00890522">
        <w:rPr>
          <w:u w:val="single"/>
        </w:rPr>
        <w:t>Summative paper on teaching</w:t>
      </w:r>
      <w:r w:rsidR="00111A68">
        <w:rPr>
          <w:u w:val="single"/>
        </w:rPr>
        <w:t xml:space="preserve"> in the Japanese society</w:t>
      </w:r>
      <w:r w:rsidR="00FF52FA">
        <w:t xml:space="preserve">: </w:t>
      </w:r>
      <w:r w:rsidR="0022446E">
        <w:t>S</w:t>
      </w:r>
      <w:r w:rsidR="003C35A7">
        <w:t>tudent</w:t>
      </w:r>
      <w:r w:rsidR="00622C7B">
        <w:t>s</w:t>
      </w:r>
      <w:r w:rsidR="003C35A7">
        <w:t xml:space="preserve"> w</w:t>
      </w:r>
      <w:r w:rsidR="00CF1328">
        <w:t xml:space="preserve">rite a </w:t>
      </w:r>
      <w:r w:rsidR="000F43CD">
        <w:t>2-</w:t>
      </w:r>
      <w:r w:rsidR="00BB126A">
        <w:t>3</w:t>
      </w:r>
      <w:r w:rsidR="00CF1328">
        <w:t xml:space="preserve"> page-long paper discussing </w:t>
      </w:r>
      <w:r w:rsidR="006D16B3">
        <w:t xml:space="preserve">the </w:t>
      </w:r>
      <w:r w:rsidR="000F43CD">
        <w:t xml:space="preserve">one or </w:t>
      </w:r>
      <w:r w:rsidR="00CF1328">
        <w:t xml:space="preserve">two most successful and </w:t>
      </w:r>
      <w:r w:rsidR="006D16B3">
        <w:t xml:space="preserve">the </w:t>
      </w:r>
      <w:r w:rsidR="000F43CD">
        <w:t xml:space="preserve">one or </w:t>
      </w:r>
      <w:r w:rsidR="00CF1328">
        <w:t xml:space="preserve">two least successful </w:t>
      </w:r>
      <w:r w:rsidR="006D16B3">
        <w:t>teaching experiences over the service learning</w:t>
      </w:r>
      <w:r w:rsidR="00CF1328">
        <w:t xml:space="preserve">.  </w:t>
      </w:r>
      <w:r w:rsidR="00111A68">
        <w:t>C</w:t>
      </w:r>
      <w:r w:rsidR="00DF21BB">
        <w:t>onsider</w:t>
      </w:r>
      <w:r w:rsidR="00CF1328">
        <w:t xml:space="preserve"> </w:t>
      </w:r>
      <w:r w:rsidR="00AE2D8C">
        <w:t>the reason(s) for</w:t>
      </w:r>
      <w:r w:rsidR="00BF51F3">
        <w:t xml:space="preserve"> </w:t>
      </w:r>
      <w:r w:rsidR="006D16B3">
        <w:t>the learners</w:t>
      </w:r>
      <w:r w:rsidR="00BF51F3">
        <w:t xml:space="preserve">’ expected and unexpected responses to </w:t>
      </w:r>
      <w:r w:rsidR="000F43CD">
        <w:t xml:space="preserve">your </w:t>
      </w:r>
      <w:r w:rsidR="00BF51F3">
        <w:t xml:space="preserve">teaching by making reference to </w:t>
      </w:r>
      <w:r w:rsidR="00111A68">
        <w:t xml:space="preserve">the readings </w:t>
      </w:r>
      <w:r w:rsidR="00C60548">
        <w:t xml:space="preserve">and </w:t>
      </w:r>
      <w:r w:rsidR="00111A68">
        <w:t>discussions on teaching, culture</w:t>
      </w:r>
      <w:r w:rsidR="00BF51F3">
        <w:t xml:space="preserve"> and </w:t>
      </w:r>
      <w:r w:rsidR="00111A68">
        <w:t>society prior to and during the service learning</w:t>
      </w:r>
      <w:r w:rsidR="00BB126A">
        <w:t>.</w:t>
      </w:r>
      <w:r w:rsidR="0022446E">
        <w:t xml:space="preserve">  </w:t>
      </w:r>
      <w:r w:rsidR="00111A68">
        <w:t xml:space="preserve">Include summative reflections on experiences working </w:t>
      </w:r>
      <w:r w:rsidR="00C60548">
        <w:t xml:space="preserve">as an ALT </w:t>
      </w:r>
      <w:r w:rsidR="00111A68">
        <w:t>in the Japanese society.</w:t>
      </w:r>
    </w:p>
    <w:p w:rsidR="00BF51F3" w:rsidRDefault="001854AE" w:rsidP="00FF52FA">
      <w:pPr>
        <w:tabs>
          <w:tab w:val="left" w:pos="887"/>
        </w:tabs>
      </w:pPr>
      <w:r>
        <w:t xml:space="preserve">3) </w:t>
      </w:r>
      <w:proofErr w:type="gramStart"/>
      <w:r>
        <w:t>and</w:t>
      </w:r>
      <w:proofErr w:type="gramEnd"/>
      <w:r>
        <w:t xml:space="preserve"> 4</w:t>
      </w:r>
      <w:r w:rsidR="00BB126A">
        <w:t xml:space="preserve">) </w:t>
      </w:r>
      <w:r w:rsidR="00C60548">
        <w:t>will be due</w:t>
      </w:r>
      <w:r w:rsidR="00BB126A">
        <w:t xml:space="preserve"> in no later than July 31</w:t>
      </w:r>
      <w:r w:rsidR="00BB126A" w:rsidRPr="00BB126A">
        <w:rPr>
          <w:vertAlign w:val="superscript"/>
        </w:rPr>
        <w:t>st</w:t>
      </w:r>
      <w:r w:rsidR="00BB126A">
        <w:t xml:space="preserve"> via e-mail</w:t>
      </w:r>
      <w:r w:rsidR="000F1221">
        <w:t>.</w:t>
      </w:r>
    </w:p>
    <w:p w:rsidR="0077580C" w:rsidRDefault="0077580C" w:rsidP="00FF52FA">
      <w:pPr>
        <w:tabs>
          <w:tab w:val="left" w:pos="887"/>
        </w:tabs>
      </w:pPr>
    </w:p>
    <w:p w:rsidR="00DB66E2" w:rsidRDefault="00DB66E2" w:rsidP="00DB66E2">
      <w:pPr>
        <w:spacing w:before="240" w:after="0"/>
      </w:pPr>
      <w:r w:rsidRPr="00717AB4">
        <w:rPr>
          <w:b/>
        </w:rPr>
        <w:t>Course Grade</w:t>
      </w:r>
      <w:r>
        <w:t>: The course grade is determined as follows:</w:t>
      </w:r>
    </w:p>
    <w:p w:rsidR="009B2C4D" w:rsidRDefault="009B2C4D" w:rsidP="00DB66E2">
      <w:pPr>
        <w:pStyle w:val="ListParagraph"/>
        <w:numPr>
          <w:ilvl w:val="0"/>
          <w:numId w:val="1"/>
        </w:numPr>
      </w:pPr>
      <w:r>
        <w:t>Teaching-assisting services</w:t>
      </w:r>
      <w:r>
        <w:tab/>
      </w:r>
      <w:r>
        <w:tab/>
      </w:r>
      <w:r>
        <w:tab/>
      </w:r>
      <w:r>
        <w:tab/>
        <w:t>60%</w:t>
      </w:r>
    </w:p>
    <w:p w:rsidR="00DB66E2" w:rsidRDefault="001854AE" w:rsidP="00DB66E2">
      <w:pPr>
        <w:pStyle w:val="ListParagraph"/>
        <w:numPr>
          <w:ilvl w:val="0"/>
          <w:numId w:val="1"/>
        </w:numPr>
      </w:pPr>
      <w:r>
        <w:t>3 “mini</w:t>
      </w:r>
      <w:r w:rsidR="009B2C4D">
        <w:t>-class</w:t>
      </w:r>
      <w:r>
        <w:t>”</w:t>
      </w:r>
      <w:r w:rsidR="009B2C4D">
        <w:t xml:space="preserve"> teachings</w:t>
      </w:r>
      <w:r w:rsidR="00DB66E2">
        <w:tab/>
      </w:r>
      <w:r w:rsidR="00DB66E2">
        <w:tab/>
      </w:r>
      <w:r w:rsidR="00DB66E2">
        <w:tab/>
      </w:r>
      <w:r w:rsidR="00DB66E2">
        <w:tab/>
        <w:t>1</w:t>
      </w:r>
      <w:r>
        <w:t>5</w:t>
      </w:r>
      <w:r w:rsidR="00DB66E2">
        <w:t>%</w:t>
      </w:r>
    </w:p>
    <w:p w:rsidR="00DB66E2" w:rsidRDefault="003037CD" w:rsidP="00DB66E2">
      <w:pPr>
        <w:pStyle w:val="ListParagraph"/>
        <w:numPr>
          <w:ilvl w:val="0"/>
          <w:numId w:val="1"/>
        </w:numPr>
      </w:pPr>
      <w:r>
        <w:t xml:space="preserve">Weekly </w:t>
      </w:r>
      <w:r w:rsidR="009B2C4D">
        <w:t>Journal</w:t>
      </w:r>
      <w:r w:rsidR="009B2C4D">
        <w:tab/>
      </w:r>
      <w:r w:rsidR="009B2C4D">
        <w:tab/>
      </w:r>
      <w:r w:rsidR="009B2C4D">
        <w:tab/>
      </w:r>
      <w:r w:rsidR="009B2C4D">
        <w:tab/>
      </w:r>
      <w:r w:rsidR="009B2C4D">
        <w:tab/>
        <w:t>20</w:t>
      </w:r>
      <w:r w:rsidR="00DB66E2">
        <w:t>%</w:t>
      </w:r>
    </w:p>
    <w:p w:rsidR="00DB66E2" w:rsidRPr="00A22263" w:rsidRDefault="00DB66E2" w:rsidP="00DB66E2">
      <w:pPr>
        <w:pStyle w:val="ListParagraph"/>
        <w:numPr>
          <w:ilvl w:val="0"/>
          <w:numId w:val="1"/>
        </w:numPr>
      </w:pPr>
      <w:r w:rsidRPr="00A22263">
        <w:t>Summative paper on</w:t>
      </w:r>
      <w:r w:rsidR="00006CAC">
        <w:t xml:space="preserve"> teaching and Japa</w:t>
      </w:r>
      <w:r w:rsidR="001854AE">
        <w:t>nese society</w:t>
      </w:r>
      <w:r w:rsidR="001854AE">
        <w:tab/>
        <w:t>15</w:t>
      </w:r>
      <w:r w:rsidRPr="00A22263">
        <w:t>%</w:t>
      </w:r>
    </w:p>
    <w:p w:rsidR="00717AB4" w:rsidRPr="007C0643" w:rsidRDefault="00717AB4" w:rsidP="00717AB4">
      <w:r>
        <w:rPr>
          <w:b/>
        </w:rPr>
        <w:t>Grading Scale</w:t>
      </w:r>
    </w:p>
    <w:p w:rsidR="00717AB4" w:rsidRPr="00CC5638" w:rsidRDefault="00717AB4" w:rsidP="00717AB4">
      <w:pPr>
        <w:rPr>
          <w:b/>
        </w:rPr>
      </w:pPr>
      <w:r w:rsidRPr="00CC5638">
        <w:rPr>
          <w:b/>
        </w:rPr>
        <w:tab/>
        <w:t xml:space="preserve">• A </w:t>
      </w:r>
      <w:r w:rsidRPr="00CC5638">
        <w:rPr>
          <w:b/>
        </w:rPr>
        <w:sym w:font="Symbol" w:char="F0B3"/>
      </w:r>
      <w:r>
        <w:rPr>
          <w:b/>
        </w:rPr>
        <w:t xml:space="preserve"> 90</w:t>
      </w:r>
      <w:r w:rsidRPr="00CC5638">
        <w:rPr>
          <w:b/>
        </w:rPr>
        <w:t xml:space="preserve">%,       • B </w:t>
      </w:r>
      <w:r w:rsidRPr="00CC5638">
        <w:rPr>
          <w:b/>
        </w:rPr>
        <w:sym w:font="Symbol" w:char="F0B3"/>
      </w:r>
      <w:r>
        <w:rPr>
          <w:b/>
        </w:rPr>
        <w:t xml:space="preserve"> 80</w:t>
      </w:r>
      <w:r w:rsidRPr="00CC5638">
        <w:rPr>
          <w:b/>
        </w:rPr>
        <w:t xml:space="preserve">%,       • C </w:t>
      </w:r>
      <w:r w:rsidRPr="00CC5638">
        <w:rPr>
          <w:b/>
        </w:rPr>
        <w:sym w:font="Symbol" w:char="F0B3"/>
      </w:r>
      <w:r>
        <w:rPr>
          <w:b/>
        </w:rPr>
        <w:t xml:space="preserve"> 70</w:t>
      </w:r>
      <w:r w:rsidRPr="00CC5638">
        <w:rPr>
          <w:b/>
        </w:rPr>
        <w:t xml:space="preserve">%,       • D </w:t>
      </w:r>
      <w:r w:rsidRPr="00CC5638">
        <w:rPr>
          <w:b/>
        </w:rPr>
        <w:sym w:font="Symbol" w:char="F0B3"/>
      </w:r>
      <w:r>
        <w:rPr>
          <w:b/>
        </w:rPr>
        <w:t xml:space="preserve"> 60</w:t>
      </w:r>
      <w:r w:rsidRPr="00CC5638">
        <w:rPr>
          <w:b/>
        </w:rPr>
        <w:t xml:space="preserve">%,       </w:t>
      </w:r>
      <w:r>
        <w:rPr>
          <w:b/>
        </w:rPr>
        <w:t>• F &lt; 60</w:t>
      </w:r>
      <w:r w:rsidRPr="00CC5638">
        <w:rPr>
          <w:b/>
        </w:rPr>
        <w:t>%</w:t>
      </w:r>
    </w:p>
    <w:p w:rsidR="001000BF" w:rsidRPr="001000BF" w:rsidRDefault="001000BF" w:rsidP="00B65261">
      <w:pPr>
        <w:spacing w:after="0"/>
      </w:pPr>
    </w:p>
    <w:p w:rsidR="007A2991" w:rsidRDefault="007A2991" w:rsidP="00B65261">
      <w:pPr>
        <w:spacing w:after="0"/>
      </w:pPr>
      <w:r w:rsidRPr="007A2991">
        <w:rPr>
          <w:b/>
        </w:rPr>
        <w:t>Service Learning Teaching Schedule</w:t>
      </w:r>
      <w:r>
        <w:t>:</w:t>
      </w:r>
    </w:p>
    <w:p w:rsidR="00FC6FB6" w:rsidRDefault="003037CD" w:rsidP="00B65261">
      <w:pPr>
        <w:spacing w:after="0"/>
      </w:pPr>
      <w:r>
        <w:rPr>
          <w:u w:val="single"/>
        </w:rPr>
        <w:t>May</w:t>
      </w:r>
      <w:r w:rsidR="00FC6FB6" w:rsidRPr="003B4054">
        <w:rPr>
          <w:u w:val="single"/>
        </w:rPr>
        <w:t xml:space="preserve"> </w:t>
      </w:r>
      <w:r>
        <w:rPr>
          <w:u w:val="single"/>
        </w:rPr>
        <w:t>3</w:t>
      </w:r>
      <w:r w:rsidR="003B006C">
        <w:rPr>
          <w:u w:val="single"/>
        </w:rPr>
        <w:t>1 to June 2</w:t>
      </w:r>
      <w:r>
        <w:rPr>
          <w:u w:val="single"/>
        </w:rPr>
        <w:t>5, 2021</w:t>
      </w:r>
    </w:p>
    <w:p w:rsidR="00FC6FB6" w:rsidRDefault="00C60548" w:rsidP="00B65261">
      <w:pPr>
        <w:spacing w:after="0"/>
      </w:pPr>
      <w:r>
        <w:t>1) Assist</w:t>
      </w:r>
      <w:r w:rsidR="00FC6FB6">
        <w:t xml:space="preserve"> </w:t>
      </w:r>
      <w:r w:rsidR="008436FC">
        <w:t xml:space="preserve">Japanese teachers of English in </w:t>
      </w:r>
      <w:r w:rsidR="00DD4CC6">
        <w:t>four</w:t>
      </w:r>
      <w:r w:rsidR="001000BF">
        <w:t xml:space="preserve"> 50-minute </w:t>
      </w:r>
      <w:r w:rsidR="008436FC">
        <w:t>class</w:t>
      </w:r>
      <w:r w:rsidR="00DD4CC6">
        <w:t>es</w:t>
      </w:r>
      <w:r w:rsidR="00FC6FB6">
        <w:t xml:space="preserve"> </w:t>
      </w:r>
      <w:r w:rsidR="00B774F3">
        <w:t xml:space="preserve">per week </w:t>
      </w:r>
      <w:r>
        <w:t xml:space="preserve">by working with two teachers </w:t>
      </w:r>
      <w:r w:rsidR="00FC6FB6">
        <w:t xml:space="preserve">at </w:t>
      </w:r>
      <w:r w:rsidR="00FC6FB6">
        <w:rPr>
          <w:i/>
        </w:rPr>
        <w:t>Nishi</w:t>
      </w:r>
      <w:r w:rsidR="00FC6FB6">
        <w:t xml:space="preserve"> High School</w:t>
      </w:r>
      <w:r w:rsidR="007E206C">
        <w:t xml:space="preserve"> (two classes per teacher)</w:t>
      </w:r>
      <w:r w:rsidR="00FC6FB6">
        <w:t>;</w:t>
      </w:r>
    </w:p>
    <w:p w:rsidR="007A2991" w:rsidRDefault="00C60548" w:rsidP="00B65261">
      <w:pPr>
        <w:spacing w:after="0"/>
      </w:pPr>
      <w:r>
        <w:t>2) Assist</w:t>
      </w:r>
      <w:r w:rsidR="00FC6FB6">
        <w:t xml:space="preserve"> </w:t>
      </w:r>
      <w:r w:rsidR="008436FC">
        <w:t xml:space="preserve">Japanese </w:t>
      </w:r>
      <w:r w:rsidR="007E206C">
        <w:t xml:space="preserve">professors </w:t>
      </w:r>
      <w:r w:rsidR="008436FC">
        <w:t xml:space="preserve">of English in </w:t>
      </w:r>
      <w:r w:rsidR="00DD4CC6">
        <w:t>five</w:t>
      </w:r>
      <w:r w:rsidR="001000BF">
        <w:t xml:space="preserve"> 100-minute </w:t>
      </w:r>
      <w:r w:rsidR="008436FC">
        <w:t>class</w:t>
      </w:r>
      <w:r w:rsidR="00DD4CC6">
        <w:t>es</w:t>
      </w:r>
      <w:r w:rsidR="008436FC">
        <w:t xml:space="preserve"> </w:t>
      </w:r>
      <w:r w:rsidR="00B774F3">
        <w:t xml:space="preserve">per week </w:t>
      </w:r>
      <w:r>
        <w:t xml:space="preserve">by working with five professors </w:t>
      </w:r>
      <w:r w:rsidR="00FC6FB6">
        <w:t xml:space="preserve">at </w:t>
      </w:r>
      <w:r>
        <w:t xml:space="preserve">KUFS </w:t>
      </w:r>
      <w:r w:rsidR="007E206C">
        <w:t>(one class per professor)</w:t>
      </w:r>
      <w:r w:rsidR="00FC6FB6">
        <w:t>;</w:t>
      </w:r>
      <w:r w:rsidR="001B5557">
        <w:t xml:space="preserve"> and</w:t>
      </w:r>
    </w:p>
    <w:p w:rsidR="00FC6FB6" w:rsidRDefault="00C60548" w:rsidP="00B65261">
      <w:pPr>
        <w:spacing w:after="0"/>
      </w:pPr>
      <w:r>
        <w:t>3) Conduct</w:t>
      </w:r>
      <w:r w:rsidR="00FC6FB6">
        <w:t xml:space="preserve"> </w:t>
      </w:r>
      <w:r>
        <w:t>three</w:t>
      </w:r>
      <w:r w:rsidR="00FC6FB6">
        <w:t xml:space="preserve"> </w:t>
      </w:r>
      <w:r w:rsidR="00C65596">
        <w:t>“</w:t>
      </w:r>
      <w:r w:rsidR="00C65596" w:rsidRPr="00C65596">
        <w:t>mini</w:t>
      </w:r>
      <w:r w:rsidR="001854AE">
        <w:t>-</w:t>
      </w:r>
      <w:r w:rsidR="00FC6FB6">
        <w:t>classes</w:t>
      </w:r>
      <w:r w:rsidR="001854AE">
        <w:t>” (50 minutes long each)</w:t>
      </w:r>
      <w:r w:rsidR="00E35BC9">
        <w:t xml:space="preserve"> in the 2</w:t>
      </w:r>
      <w:r w:rsidR="00E35BC9" w:rsidRPr="00E35BC9">
        <w:rPr>
          <w:vertAlign w:val="superscript"/>
        </w:rPr>
        <w:t>nd</w:t>
      </w:r>
      <w:r w:rsidR="00E35BC9">
        <w:t>, 3</w:t>
      </w:r>
      <w:r w:rsidR="00E35BC9" w:rsidRPr="00E35BC9">
        <w:rPr>
          <w:vertAlign w:val="superscript"/>
        </w:rPr>
        <w:t>rd</w:t>
      </w:r>
      <w:r w:rsidR="00E35BC9">
        <w:t>, and 4</w:t>
      </w:r>
      <w:r w:rsidR="00E35BC9" w:rsidRPr="00E35BC9">
        <w:rPr>
          <w:vertAlign w:val="superscript"/>
        </w:rPr>
        <w:t>th</w:t>
      </w:r>
      <w:r w:rsidR="00E35BC9">
        <w:t xml:space="preserve"> weeks</w:t>
      </w:r>
      <w:r w:rsidR="00EE1EB4">
        <w:t xml:space="preserve"> at </w:t>
      </w:r>
      <w:r w:rsidR="00EE1EB4">
        <w:rPr>
          <w:i/>
        </w:rPr>
        <w:t>Nishi</w:t>
      </w:r>
      <w:r w:rsidR="00EE1EB4">
        <w:t xml:space="preserve"> High School</w:t>
      </w:r>
      <w:r w:rsidR="00FC6FB6">
        <w:t>.</w:t>
      </w:r>
    </w:p>
    <w:p w:rsidR="0077580C" w:rsidRDefault="0077580C" w:rsidP="00B65261">
      <w:pPr>
        <w:spacing w:after="0"/>
      </w:pPr>
    </w:p>
    <w:p w:rsidR="003B4054" w:rsidRDefault="003B4054" w:rsidP="00B65261">
      <w:pPr>
        <w:spacing w:before="240" w:after="0"/>
      </w:pPr>
      <w:r w:rsidRPr="007A2991">
        <w:rPr>
          <w:b/>
        </w:rPr>
        <w:t xml:space="preserve">Service Learning </w:t>
      </w:r>
      <w:r>
        <w:rPr>
          <w:b/>
        </w:rPr>
        <w:t>Academic</w:t>
      </w:r>
      <w:r w:rsidRPr="007A2991">
        <w:rPr>
          <w:b/>
        </w:rPr>
        <w:t xml:space="preserve"> Schedule</w:t>
      </w:r>
      <w:r>
        <w:t>:</w:t>
      </w:r>
    </w:p>
    <w:p w:rsidR="003B4054" w:rsidRDefault="004064D7" w:rsidP="00B65261">
      <w:pPr>
        <w:spacing w:after="0"/>
      </w:pPr>
      <w:r w:rsidRPr="004064D7">
        <w:rPr>
          <w:u w:val="single"/>
        </w:rPr>
        <w:t>Pre-</w:t>
      </w:r>
      <w:r w:rsidR="00C60548">
        <w:rPr>
          <w:u w:val="single"/>
        </w:rPr>
        <w:t>service</w:t>
      </w:r>
      <w:r w:rsidRPr="004064D7">
        <w:rPr>
          <w:u w:val="single"/>
        </w:rPr>
        <w:t xml:space="preserve"> classes</w:t>
      </w:r>
      <w:r w:rsidR="00A27FDB">
        <w:rPr>
          <w:u w:val="single"/>
        </w:rPr>
        <w:t xml:space="preserve"> (late March to </w:t>
      </w:r>
      <w:r w:rsidR="007E206C">
        <w:rPr>
          <w:u w:val="single"/>
        </w:rPr>
        <w:t>mid-</w:t>
      </w:r>
      <w:r w:rsidR="00A27FDB">
        <w:rPr>
          <w:u w:val="single"/>
        </w:rPr>
        <w:t>April)</w:t>
      </w:r>
      <w:r>
        <w:t>:</w:t>
      </w:r>
    </w:p>
    <w:p w:rsidR="004064D7" w:rsidRDefault="007E206C" w:rsidP="000E001C">
      <w:pPr>
        <w:spacing w:after="0"/>
        <w:ind w:right="-180"/>
      </w:pPr>
      <w:r>
        <w:t>S</w:t>
      </w:r>
      <w:r w:rsidR="00DD4CC6">
        <w:t>ervice learning student</w:t>
      </w:r>
      <w:r>
        <w:t>s</w:t>
      </w:r>
      <w:r w:rsidR="008502A6">
        <w:t xml:space="preserve"> </w:t>
      </w:r>
      <w:r w:rsidR="00B774F3">
        <w:t xml:space="preserve">meet with </w:t>
      </w:r>
      <w:r w:rsidR="008502A6">
        <w:t xml:space="preserve">the instructor for </w:t>
      </w:r>
      <w:r w:rsidR="00E35BC9">
        <w:t>1 to</w:t>
      </w:r>
      <w:r w:rsidR="00B774F3">
        <w:t>1</w:t>
      </w:r>
      <w:r w:rsidR="00E76059" w:rsidRPr="00E76059">
        <w:rPr>
          <w:rFonts w:ascii="Arial" w:hAnsi="Arial" w:cs="Arial"/>
          <w:color w:val="222222"/>
          <w:vertAlign w:val="superscript"/>
          <w:lang w:val="en"/>
        </w:rPr>
        <w:t xml:space="preserve"> </w:t>
      </w:r>
      <w:r w:rsidR="00E76059" w:rsidRPr="008436FC">
        <w:rPr>
          <w:rStyle w:val="tgc"/>
          <w:color w:val="222222"/>
          <w:vertAlign w:val="superscript"/>
          <w:lang w:val="en"/>
        </w:rPr>
        <w:t>1</w:t>
      </w:r>
      <w:r w:rsidR="00E76059" w:rsidRPr="008436FC">
        <w:rPr>
          <w:rStyle w:val="tgc"/>
          <w:color w:val="222222"/>
          <w:lang w:val="en"/>
        </w:rPr>
        <w:t>⁄</w:t>
      </w:r>
      <w:r w:rsidR="00E76059" w:rsidRPr="008436FC">
        <w:rPr>
          <w:rStyle w:val="tgc"/>
          <w:color w:val="222222"/>
          <w:vertAlign w:val="subscript"/>
          <w:lang w:val="en"/>
        </w:rPr>
        <w:t>2</w:t>
      </w:r>
      <w:r w:rsidR="00B774F3">
        <w:t xml:space="preserve"> </w:t>
      </w:r>
      <w:r w:rsidR="008502A6">
        <w:t xml:space="preserve">hours </w:t>
      </w:r>
      <w:r>
        <w:t xml:space="preserve">twice </w:t>
      </w:r>
      <w:r w:rsidR="008502A6">
        <w:t>per week</w:t>
      </w:r>
      <w:r w:rsidR="00C65596">
        <w:t xml:space="preserve"> to:</w:t>
      </w:r>
    </w:p>
    <w:p w:rsidR="00E76059" w:rsidRDefault="00C65596" w:rsidP="00AB380C">
      <w:pPr>
        <w:spacing w:after="0"/>
      </w:pPr>
      <w:r>
        <w:t xml:space="preserve">1) </w:t>
      </w:r>
      <w:proofErr w:type="gramStart"/>
      <w:r w:rsidR="00E76059">
        <w:t>learn</w:t>
      </w:r>
      <w:proofErr w:type="gramEnd"/>
      <w:r w:rsidR="00E76059">
        <w:t xml:space="preserve"> principles and techniques of teaching English to Japanese-speaking learners;</w:t>
      </w:r>
    </w:p>
    <w:p w:rsidR="00754AD6" w:rsidRDefault="00E76059" w:rsidP="00AB380C">
      <w:pPr>
        <w:spacing w:after="0"/>
      </w:pPr>
      <w:r>
        <w:t xml:space="preserve">2) </w:t>
      </w:r>
      <w:proofErr w:type="gramStart"/>
      <w:r w:rsidR="00192D90">
        <w:t>gain</w:t>
      </w:r>
      <w:proofErr w:type="gramEnd"/>
      <w:r w:rsidR="00192D90">
        <w:t xml:space="preserve"> understanding of culturally important notion</w:t>
      </w:r>
      <w:r w:rsidR="008436FC">
        <w:t>s that underlie Japanese people</w:t>
      </w:r>
      <w:r w:rsidR="00192D90">
        <w:t>s</w:t>
      </w:r>
      <w:r w:rsidR="008436FC">
        <w:t>’</w:t>
      </w:r>
      <w:r w:rsidR="00192D90">
        <w:t xml:space="preserve"> verbal and non-verbal behaviors and social customs in </w:t>
      </w:r>
      <w:r>
        <w:t xml:space="preserve">the </w:t>
      </w:r>
      <w:r w:rsidR="00192D90">
        <w:t>Japanese society;</w:t>
      </w:r>
      <w:r>
        <w:t xml:space="preserve"> </w:t>
      </w:r>
      <w:r w:rsidR="00754AD6">
        <w:t>and</w:t>
      </w:r>
    </w:p>
    <w:p w:rsidR="00192D90" w:rsidRDefault="00754AD6" w:rsidP="00192D90">
      <w:r>
        <w:t xml:space="preserve">3) </w:t>
      </w:r>
      <w:r w:rsidR="007E206C">
        <w:t>S</w:t>
      </w:r>
      <w:r w:rsidR="00E76059">
        <w:t>tart preparing</w:t>
      </w:r>
      <w:r w:rsidR="00BC201E">
        <w:t xml:space="preserve"> </w:t>
      </w:r>
      <w:r w:rsidR="007E206C">
        <w:t xml:space="preserve">for </w:t>
      </w:r>
      <w:r w:rsidR="00BC201E">
        <w:t>their teaching</w:t>
      </w:r>
      <w:r w:rsidR="007E206C">
        <w:t xml:space="preserve"> at host institutions</w:t>
      </w:r>
      <w:r w:rsidR="00192D90"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6"/>
        <w:gridCol w:w="1310"/>
        <w:gridCol w:w="5454"/>
        <w:gridCol w:w="2140"/>
      </w:tblGrid>
      <w:tr w:rsidR="000E7CAF" w:rsidTr="006F1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734D18"/>
        </w:tc>
        <w:tc>
          <w:tcPr>
            <w:tcW w:w="0" w:type="auto"/>
          </w:tcPr>
          <w:p w:rsidR="00086955" w:rsidRDefault="00086955" w:rsidP="00734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  <w:tc>
          <w:tcPr>
            <w:tcW w:w="0" w:type="auto"/>
          </w:tcPr>
          <w:p w:rsidR="00086955" w:rsidRDefault="00086955" w:rsidP="00734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  <w:tc>
          <w:tcPr>
            <w:tcW w:w="0" w:type="auto"/>
          </w:tcPr>
          <w:p w:rsidR="00086955" w:rsidRDefault="006F11B0" w:rsidP="006F1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Reading </w:t>
            </w:r>
            <w:r w:rsidR="00086955">
              <w:t>Assignments</w:t>
            </w:r>
          </w:p>
        </w:tc>
      </w:tr>
      <w:tr w:rsidR="00EC1109" w:rsidTr="006F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912442">
            <w:r>
              <w:t>1</w:t>
            </w:r>
          </w:p>
        </w:tc>
        <w:tc>
          <w:tcPr>
            <w:tcW w:w="0" w:type="auto"/>
          </w:tcPr>
          <w:p w:rsidR="00086955" w:rsidRPr="00B774F3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Mar. </w:t>
            </w:r>
            <w:r w:rsidR="003037CD">
              <w:t>23</w:t>
            </w:r>
            <w:r>
              <w:t xml:space="preserve">, </w:t>
            </w:r>
            <w:r w:rsidR="006F11B0">
              <w:t>Tue.</w:t>
            </w:r>
          </w:p>
        </w:tc>
        <w:tc>
          <w:tcPr>
            <w:tcW w:w="0" w:type="auto"/>
          </w:tcPr>
          <w:p w:rsidR="00086955" w:rsidRDefault="00086955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Monitor Model;</w:t>
            </w:r>
          </w:p>
          <w:p w:rsidR="00086955" w:rsidRDefault="00086955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Silence in Japanese Communication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Handout;</w:t>
            </w:r>
          </w:p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pp. 51-59</w:t>
            </w:r>
          </w:p>
        </w:tc>
      </w:tr>
      <w:tr w:rsidR="000E7CAF" w:rsidTr="006F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734D18">
            <w:r>
              <w:t>2</w:t>
            </w:r>
          </w:p>
        </w:tc>
        <w:tc>
          <w:tcPr>
            <w:tcW w:w="0" w:type="auto"/>
          </w:tcPr>
          <w:p w:rsidR="00086955" w:rsidRPr="00B774F3" w:rsidRDefault="003B006C" w:rsidP="0030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Mar. 2</w:t>
            </w:r>
            <w:r w:rsidR="003037CD">
              <w:t>5</w:t>
            </w:r>
            <w:r w:rsidR="006F11B0">
              <w:t>, Thu.</w:t>
            </w:r>
          </w:p>
        </w:tc>
        <w:tc>
          <w:tcPr>
            <w:tcW w:w="0" w:type="auto"/>
          </w:tcPr>
          <w:p w:rsidR="00086955" w:rsidRDefault="00086955" w:rsidP="0039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Grammar-Translation Method;</w:t>
            </w:r>
          </w:p>
          <w:p w:rsidR="00086955" w:rsidRDefault="00086955" w:rsidP="0039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Implicit way of Commutating in Japan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Ch. 2;</w:t>
            </w:r>
          </w:p>
          <w:p w:rsidR="00086955" w:rsidRDefault="00086955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pp. 103-108</w:t>
            </w:r>
          </w:p>
        </w:tc>
      </w:tr>
      <w:tr w:rsidR="00EC1109" w:rsidTr="006F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D61901">
            <w:r>
              <w:t>3</w:t>
            </w:r>
          </w:p>
        </w:tc>
        <w:tc>
          <w:tcPr>
            <w:tcW w:w="0" w:type="auto"/>
          </w:tcPr>
          <w:p w:rsidR="00086955" w:rsidRDefault="003B006C" w:rsidP="00EC1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</w:t>
            </w:r>
            <w:r w:rsidR="00086955">
              <w:t xml:space="preserve">. </w:t>
            </w:r>
            <w:r w:rsidR="003037CD">
              <w:t>30</w:t>
            </w:r>
            <w:r w:rsidR="00086955">
              <w:t>,</w:t>
            </w:r>
          </w:p>
          <w:p w:rsidR="00EC1109" w:rsidRPr="00B774F3" w:rsidRDefault="00EC1109" w:rsidP="00EC1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Tue.</w:t>
            </w:r>
          </w:p>
        </w:tc>
        <w:tc>
          <w:tcPr>
            <w:tcW w:w="0" w:type="auto"/>
          </w:tcPr>
          <w:p w:rsidR="00086955" w:rsidRDefault="00086955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Direct Method;</w:t>
            </w:r>
          </w:p>
          <w:p w:rsidR="00086955" w:rsidRDefault="00086955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Japanese Virtue of Modesty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3;</w:t>
            </w:r>
          </w:p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pp. 143151</w:t>
            </w:r>
          </w:p>
        </w:tc>
      </w:tr>
      <w:tr w:rsidR="000E7CAF" w:rsidTr="006F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D61901">
            <w:r>
              <w:t>4</w:t>
            </w:r>
          </w:p>
        </w:tc>
        <w:tc>
          <w:tcPr>
            <w:tcW w:w="0" w:type="auto"/>
          </w:tcPr>
          <w:p w:rsidR="00086955" w:rsidRDefault="003B006C" w:rsidP="00D6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</w:t>
            </w:r>
            <w:r w:rsidR="003037CD">
              <w:t>. 01</w:t>
            </w:r>
            <w:r w:rsidR="00EC1109">
              <w:t>,</w:t>
            </w:r>
          </w:p>
          <w:p w:rsidR="00EC1109" w:rsidRPr="00B774F3" w:rsidRDefault="00EC1109" w:rsidP="00D6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Thu.</w:t>
            </w:r>
          </w:p>
        </w:tc>
        <w:tc>
          <w:tcPr>
            <w:tcW w:w="0" w:type="auto"/>
          </w:tcPr>
          <w:p w:rsidR="00086955" w:rsidRDefault="00086955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Audio-Lingual Method</w:t>
            </w:r>
            <w:r w:rsidR="00315FCE">
              <w:t>;</w:t>
            </w:r>
          </w:p>
          <w:p w:rsidR="00086955" w:rsidRDefault="00086955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Giri</w:t>
            </w:r>
            <w:proofErr w:type="spellEnd"/>
            <w:r>
              <w:t xml:space="preserve"> (</w:t>
            </w:r>
            <w:r>
              <w:rPr>
                <w:rFonts w:hint="eastAsia"/>
              </w:rPr>
              <w:t>義理</w:t>
            </w:r>
            <w:r>
              <w:t>) Japanese Social Obligations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Ch. 4;</w:t>
            </w:r>
          </w:p>
          <w:p w:rsidR="00086955" w:rsidRDefault="00086955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pp. 95-101</w:t>
            </w:r>
          </w:p>
        </w:tc>
      </w:tr>
      <w:tr w:rsidR="00EC1109" w:rsidTr="006F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D61901">
            <w:r>
              <w:t>5</w:t>
            </w:r>
          </w:p>
        </w:tc>
        <w:tc>
          <w:tcPr>
            <w:tcW w:w="0" w:type="auto"/>
          </w:tcPr>
          <w:p w:rsidR="00086955" w:rsidRDefault="003B006C" w:rsidP="00D6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Apr. </w:t>
            </w:r>
            <w:r w:rsidR="003037CD">
              <w:t>06</w:t>
            </w:r>
            <w:r w:rsidR="00EC1109">
              <w:t>,</w:t>
            </w:r>
          </w:p>
          <w:p w:rsidR="00EC1109" w:rsidRPr="00B774F3" w:rsidRDefault="00EC1109" w:rsidP="00D6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Tue.</w:t>
            </w:r>
          </w:p>
        </w:tc>
        <w:tc>
          <w:tcPr>
            <w:tcW w:w="0" w:type="auto"/>
          </w:tcPr>
          <w:p w:rsidR="00086955" w:rsidRDefault="00086955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Physical Response;</w:t>
            </w:r>
          </w:p>
          <w:p w:rsidR="00086955" w:rsidRPr="00E074EE" w:rsidRDefault="002C50E2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Gambari</w:t>
            </w:r>
            <w:proofErr w:type="spellEnd"/>
            <w:r>
              <w:t xml:space="preserve"> (</w:t>
            </w:r>
            <w:r>
              <w:rPr>
                <w:rFonts w:hint="eastAsia"/>
              </w:rPr>
              <w:t>がんばり</w:t>
            </w:r>
            <w:r>
              <w:t>) Japanese Patience and Determination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8;</w:t>
            </w:r>
          </w:p>
          <w:p w:rsidR="00086955" w:rsidRDefault="002C50E2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pp. 83-93</w:t>
            </w:r>
          </w:p>
        </w:tc>
      </w:tr>
      <w:tr w:rsidR="000E7CAF" w:rsidTr="006F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734D18">
            <w:r>
              <w:t>6</w:t>
            </w:r>
          </w:p>
        </w:tc>
        <w:tc>
          <w:tcPr>
            <w:tcW w:w="0" w:type="auto"/>
          </w:tcPr>
          <w:p w:rsidR="00086955" w:rsidRDefault="003B006C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Apr. </w:t>
            </w:r>
            <w:r w:rsidR="003037CD">
              <w:t>08</w:t>
            </w:r>
            <w:r w:rsidR="00EC1109">
              <w:t>,</w:t>
            </w:r>
          </w:p>
          <w:p w:rsidR="00EC1109" w:rsidRPr="00B774F3" w:rsidRDefault="00EC1109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Thu.</w:t>
            </w:r>
          </w:p>
        </w:tc>
        <w:tc>
          <w:tcPr>
            <w:tcW w:w="0" w:type="auto"/>
          </w:tcPr>
          <w:p w:rsidR="00086955" w:rsidRDefault="00086955" w:rsidP="0039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Communicative Language Teaching;</w:t>
            </w:r>
          </w:p>
          <w:p w:rsidR="00086955" w:rsidRDefault="002C50E2" w:rsidP="0039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Uchi</w:t>
            </w:r>
            <w:proofErr w:type="spellEnd"/>
            <w:r>
              <w:t xml:space="preserve"> and </w:t>
            </w:r>
            <w:r>
              <w:rPr>
                <w:i/>
              </w:rPr>
              <w:t>Soto</w:t>
            </w:r>
            <w:r>
              <w:t xml:space="preserve"> (</w:t>
            </w:r>
            <w:r>
              <w:rPr>
                <w:rFonts w:hint="eastAsia"/>
              </w:rPr>
              <w:t>内と外</w:t>
            </w:r>
            <w:r>
              <w:t>) Dual Meanings in Japanese Human Relations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Ch. 9;</w:t>
            </w:r>
          </w:p>
          <w:p w:rsidR="00086955" w:rsidRDefault="002C50E2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pp. 195-199</w:t>
            </w:r>
          </w:p>
        </w:tc>
      </w:tr>
      <w:tr w:rsidR="00EC1109" w:rsidTr="006F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734D18">
            <w:r>
              <w:t>7</w:t>
            </w:r>
          </w:p>
        </w:tc>
        <w:tc>
          <w:tcPr>
            <w:tcW w:w="0" w:type="auto"/>
          </w:tcPr>
          <w:p w:rsidR="00086955" w:rsidRDefault="003037CD" w:rsidP="0073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Apr. 13</w:t>
            </w:r>
            <w:r w:rsidR="00EC1109">
              <w:t>,</w:t>
            </w:r>
          </w:p>
          <w:p w:rsidR="00EC1109" w:rsidRPr="00B774F3" w:rsidRDefault="00EC1109" w:rsidP="0073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Tue.</w:t>
            </w:r>
          </w:p>
        </w:tc>
        <w:tc>
          <w:tcPr>
            <w:tcW w:w="0" w:type="auto"/>
          </w:tcPr>
          <w:p w:rsidR="00086955" w:rsidRDefault="00086955" w:rsidP="0073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Task-based Language Teaching;</w:t>
            </w:r>
          </w:p>
          <w:p w:rsidR="00086955" w:rsidRDefault="002C50E2" w:rsidP="0039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F13">
              <w:t>Ambiguity and the Japanese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Ch. 11</w:t>
            </w:r>
          </w:p>
          <w:p w:rsidR="00086955" w:rsidRDefault="002C50E2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pp. 9-16</w:t>
            </w:r>
          </w:p>
        </w:tc>
      </w:tr>
      <w:tr w:rsidR="000E7CAF" w:rsidTr="006F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D61901">
            <w:r>
              <w:t>8</w:t>
            </w:r>
          </w:p>
        </w:tc>
        <w:tc>
          <w:tcPr>
            <w:tcW w:w="0" w:type="auto"/>
          </w:tcPr>
          <w:p w:rsidR="00086955" w:rsidRDefault="003037CD" w:rsidP="00D6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Apr. 15</w:t>
            </w:r>
            <w:r w:rsidR="00EC1109">
              <w:t>,</w:t>
            </w:r>
          </w:p>
          <w:p w:rsidR="00EC1109" w:rsidRPr="00B774F3" w:rsidRDefault="00EC1109" w:rsidP="00D6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Thu.</w:t>
            </w:r>
          </w:p>
        </w:tc>
        <w:tc>
          <w:tcPr>
            <w:tcW w:w="0" w:type="auto"/>
          </w:tcPr>
          <w:p w:rsidR="00086955" w:rsidRDefault="00086955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Desuggestopedia</w:t>
            </w:r>
            <w:proofErr w:type="spellEnd"/>
            <w:r>
              <w:t>;</w:t>
            </w:r>
          </w:p>
          <w:p w:rsidR="00086955" w:rsidRDefault="002C50E2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6454">
              <w:rPr>
                <w:i/>
              </w:rPr>
              <w:t>Honne</w:t>
            </w:r>
            <w:proofErr w:type="spellEnd"/>
            <w:r w:rsidRPr="00F16454">
              <w:t xml:space="preserve"> vs. </w:t>
            </w:r>
            <w:proofErr w:type="spellStart"/>
            <w:r w:rsidRPr="00F16454">
              <w:rPr>
                <w:i/>
              </w:rPr>
              <w:t>Tatemae</w:t>
            </w:r>
            <w:proofErr w:type="spellEnd"/>
            <w:r w:rsidRPr="00F16454">
              <w:t xml:space="preserve"> (</w:t>
            </w:r>
            <w:r w:rsidRPr="00F16454">
              <w:rPr>
                <w:rFonts w:hint="eastAsia"/>
              </w:rPr>
              <w:t>本音とたて前</w:t>
            </w:r>
            <w:r w:rsidRPr="00F16454">
              <w:t>) Private vs. Public Stance in Japan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Ch. 6;</w:t>
            </w:r>
          </w:p>
          <w:p w:rsidR="00086955" w:rsidRDefault="002C50E2" w:rsidP="006F1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pp. 115-118</w:t>
            </w:r>
          </w:p>
        </w:tc>
      </w:tr>
      <w:tr w:rsidR="00EC1109" w:rsidTr="006F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D61901">
            <w:r>
              <w:t>9</w:t>
            </w:r>
          </w:p>
        </w:tc>
        <w:tc>
          <w:tcPr>
            <w:tcW w:w="0" w:type="auto"/>
          </w:tcPr>
          <w:p w:rsidR="00086955" w:rsidRDefault="003037CD" w:rsidP="00D6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Apr. 20</w:t>
            </w:r>
            <w:r w:rsidR="000E7CAF">
              <w:t>,</w:t>
            </w:r>
          </w:p>
          <w:p w:rsidR="000E7CAF" w:rsidRPr="00B774F3" w:rsidRDefault="000E7CAF" w:rsidP="00D6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Tue.</w:t>
            </w:r>
          </w:p>
        </w:tc>
        <w:tc>
          <w:tcPr>
            <w:tcW w:w="0" w:type="auto"/>
          </w:tcPr>
          <w:p w:rsidR="00086955" w:rsidRDefault="00086955" w:rsidP="0073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454">
              <w:t>The Japanese and English sound systems</w:t>
            </w:r>
            <w:r w:rsidR="002C50E2">
              <w:t xml:space="preserve"> &amp; Recasts</w:t>
            </w:r>
            <w:r>
              <w:t>;</w:t>
            </w:r>
          </w:p>
          <w:p w:rsidR="00086955" w:rsidRDefault="002C50E2" w:rsidP="002C5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Japanese Custom of Gift Giving</w:t>
            </w:r>
          </w:p>
        </w:tc>
        <w:tc>
          <w:tcPr>
            <w:tcW w:w="0" w:type="auto"/>
          </w:tcPr>
          <w:p w:rsidR="00086955" w:rsidRDefault="00086955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Handout;</w:t>
            </w:r>
          </w:p>
          <w:p w:rsidR="00086955" w:rsidRDefault="002C50E2" w:rsidP="006F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pp. 233-243</w:t>
            </w:r>
          </w:p>
        </w:tc>
      </w:tr>
      <w:tr w:rsidR="000E7CAF" w:rsidTr="006F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6955" w:rsidRDefault="00086955" w:rsidP="000D63F4">
            <w:r>
              <w:t>10</w:t>
            </w:r>
          </w:p>
        </w:tc>
        <w:tc>
          <w:tcPr>
            <w:tcW w:w="0" w:type="auto"/>
          </w:tcPr>
          <w:p w:rsidR="00086955" w:rsidRDefault="003037CD" w:rsidP="000D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 22,</w:t>
            </w:r>
          </w:p>
          <w:p w:rsidR="003037CD" w:rsidRPr="00B774F3" w:rsidRDefault="003037CD" w:rsidP="000D6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Thu.</w:t>
            </w:r>
          </w:p>
        </w:tc>
        <w:tc>
          <w:tcPr>
            <w:tcW w:w="0" w:type="auto"/>
          </w:tcPr>
          <w:p w:rsidR="00086955" w:rsidRDefault="002C50E2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Pre-departure orientation</w:t>
            </w:r>
          </w:p>
          <w:p w:rsidR="000E7CAF" w:rsidRDefault="000E7CAF" w:rsidP="0073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86955" w:rsidRDefault="00086955" w:rsidP="00720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35BC9" w:rsidRDefault="00E35BC9" w:rsidP="0057069C">
      <w:pPr>
        <w:spacing w:after="0"/>
      </w:pPr>
    </w:p>
    <w:p w:rsidR="003B4054" w:rsidRDefault="00C65596" w:rsidP="00C65596">
      <w:pPr>
        <w:spacing w:before="240" w:after="0"/>
      </w:pPr>
      <w:r>
        <w:rPr>
          <w:u w:val="single"/>
        </w:rPr>
        <w:t>C</w:t>
      </w:r>
      <w:r w:rsidR="00A27FDB">
        <w:rPr>
          <w:u w:val="single"/>
        </w:rPr>
        <w:t xml:space="preserve">lasses </w:t>
      </w:r>
      <w:r>
        <w:rPr>
          <w:u w:val="single"/>
        </w:rPr>
        <w:t xml:space="preserve">during the service learning </w:t>
      </w:r>
      <w:r w:rsidR="00A27FDB">
        <w:rPr>
          <w:u w:val="single"/>
        </w:rPr>
        <w:t>(</w:t>
      </w:r>
      <w:r w:rsidR="001E41F4">
        <w:rPr>
          <w:u w:val="single"/>
        </w:rPr>
        <w:t>May</w:t>
      </w:r>
      <w:r w:rsidR="003B006C">
        <w:rPr>
          <w:u w:val="single"/>
        </w:rPr>
        <w:t xml:space="preserve"> </w:t>
      </w:r>
      <w:r w:rsidR="001E41F4">
        <w:rPr>
          <w:u w:val="single"/>
        </w:rPr>
        <w:t>3</w:t>
      </w:r>
      <w:r w:rsidR="003B006C">
        <w:rPr>
          <w:u w:val="single"/>
        </w:rPr>
        <w:t>1 to June 2</w:t>
      </w:r>
      <w:r w:rsidR="001E41F4">
        <w:rPr>
          <w:u w:val="single"/>
        </w:rPr>
        <w:t>5</w:t>
      </w:r>
      <w:r w:rsidR="003B006C">
        <w:rPr>
          <w:u w:val="single"/>
        </w:rPr>
        <w:t>, 2020</w:t>
      </w:r>
      <w:r w:rsidR="00A27FDB">
        <w:rPr>
          <w:u w:val="single"/>
        </w:rPr>
        <w:t>)</w:t>
      </w:r>
      <w:r w:rsidR="003B4054">
        <w:t>:</w:t>
      </w:r>
    </w:p>
    <w:p w:rsidR="001B5557" w:rsidRDefault="00C60548" w:rsidP="00B65261">
      <w:pPr>
        <w:spacing w:after="0"/>
      </w:pPr>
      <w:r>
        <w:t>S</w:t>
      </w:r>
      <w:r w:rsidR="00DD4CC6">
        <w:t>tudent</w:t>
      </w:r>
      <w:r w:rsidR="007E206C">
        <w:t>s</w:t>
      </w:r>
      <w:r w:rsidR="003B4054">
        <w:t xml:space="preserve"> </w:t>
      </w:r>
      <w:r w:rsidR="00E76059">
        <w:t xml:space="preserve">meet with </w:t>
      </w:r>
      <w:r w:rsidR="003B4054">
        <w:t xml:space="preserve">the instructor for </w:t>
      </w:r>
      <w:r w:rsidR="00E35BC9">
        <w:t xml:space="preserve">1 </w:t>
      </w:r>
      <w:r w:rsidR="006F770E">
        <w:t>hour</w:t>
      </w:r>
      <w:r w:rsidR="00E76059">
        <w:t xml:space="preserve"> </w:t>
      </w:r>
      <w:r w:rsidR="003B4054">
        <w:t>daily to</w:t>
      </w:r>
      <w:r w:rsidR="001B5557">
        <w:t>:</w:t>
      </w:r>
    </w:p>
    <w:p w:rsidR="001B5557" w:rsidRDefault="003B4054" w:rsidP="00B65261">
      <w:pPr>
        <w:spacing w:after="0"/>
      </w:pPr>
      <w:r>
        <w:t xml:space="preserve">1) </w:t>
      </w:r>
      <w:proofErr w:type="gramStart"/>
      <w:r>
        <w:t>critique</w:t>
      </w:r>
      <w:proofErr w:type="gramEnd"/>
      <w:r>
        <w:t xml:space="preserve"> </w:t>
      </w:r>
      <w:r w:rsidR="00C60548">
        <w:t>student</w:t>
      </w:r>
      <w:r w:rsidR="00DD4CC6">
        <w:t>s</w:t>
      </w:r>
      <w:r w:rsidR="00C60548">
        <w:t>’</w:t>
      </w:r>
      <w:r>
        <w:t xml:space="preserve"> teaching</w:t>
      </w:r>
      <w:r w:rsidR="00C60548">
        <w:t xml:space="preserve">s, </w:t>
      </w:r>
      <w:r w:rsidR="001B5557">
        <w:t xml:space="preserve">which </w:t>
      </w:r>
      <w:r w:rsidR="00C60548">
        <w:t xml:space="preserve">are </w:t>
      </w:r>
      <w:r w:rsidR="001B5557">
        <w:t xml:space="preserve">observed by </w:t>
      </w:r>
      <w:r w:rsidR="00C60548">
        <w:t xml:space="preserve">the Truman faculty or </w:t>
      </w:r>
      <w:r w:rsidR="001B5557">
        <w:t xml:space="preserve">the peer service learning student </w:t>
      </w:r>
      <w:r w:rsidR="00C60548">
        <w:t>on a regular basis</w:t>
      </w:r>
      <w:r w:rsidR="001B5557">
        <w:t>;</w:t>
      </w:r>
    </w:p>
    <w:p w:rsidR="00754AD6" w:rsidRDefault="003B4054" w:rsidP="00B65261">
      <w:pPr>
        <w:spacing w:after="0"/>
      </w:pPr>
      <w:r>
        <w:t xml:space="preserve">2) </w:t>
      </w:r>
      <w:proofErr w:type="gramStart"/>
      <w:r w:rsidR="00754AD6">
        <w:t>prepare</w:t>
      </w:r>
      <w:proofErr w:type="gramEnd"/>
      <w:r w:rsidR="00754AD6">
        <w:t xml:space="preserve"> </w:t>
      </w:r>
      <w:r w:rsidR="004064D7">
        <w:t>teaching plans</w:t>
      </w:r>
      <w:r w:rsidR="00754AD6">
        <w:t xml:space="preserve"> and learning </w:t>
      </w:r>
      <w:r w:rsidR="002B1DA8">
        <w:t>activities</w:t>
      </w:r>
      <w:r w:rsidR="001B5557">
        <w:t>;</w:t>
      </w:r>
      <w:r w:rsidR="00347B76">
        <w:t xml:space="preserve"> and</w:t>
      </w:r>
    </w:p>
    <w:p w:rsidR="007A2991" w:rsidRDefault="00347B76" w:rsidP="00DD4CC6">
      <w:r>
        <w:t>3</w:t>
      </w:r>
      <w:r w:rsidR="003B4054">
        <w:t xml:space="preserve">) </w:t>
      </w:r>
      <w:proofErr w:type="gramStart"/>
      <w:r w:rsidR="001B5557">
        <w:t>reflect</w:t>
      </w:r>
      <w:proofErr w:type="gramEnd"/>
      <w:r w:rsidR="001B5557">
        <w:t xml:space="preserve"> on </w:t>
      </w:r>
      <w:r w:rsidR="003B4054">
        <w:t xml:space="preserve">their </w:t>
      </w:r>
      <w:r w:rsidR="001B5557">
        <w:t xml:space="preserve">experiences at the workplace </w:t>
      </w:r>
      <w:r w:rsidR="007E206C">
        <w:t>in terms of Japanese cultural values and social norms</w:t>
      </w:r>
      <w:r w:rsidR="001B5557">
        <w:t>.</w:t>
      </w:r>
    </w:p>
    <w:p w:rsidR="00086955" w:rsidRDefault="00086955" w:rsidP="0057069C">
      <w:pPr>
        <w:spacing w:after="0" w:line="240" w:lineRule="auto"/>
      </w:pPr>
    </w:p>
    <w:p w:rsidR="00515AB1" w:rsidRPr="00515AB1" w:rsidRDefault="00515AB1" w:rsidP="00515AB1">
      <w:pPr>
        <w:spacing w:after="0"/>
        <w:rPr>
          <w:b/>
        </w:rPr>
      </w:pPr>
      <w:r w:rsidRPr="00515AB1">
        <w:rPr>
          <w:b/>
        </w:rPr>
        <w:t>Notes: Costs excluded from the payments to the university</w:t>
      </w:r>
      <w:r w:rsidR="006E4217">
        <w:rPr>
          <w:b/>
        </w:rPr>
        <w:t xml:space="preserve"> (</w:t>
      </w:r>
      <w:r w:rsidR="005A46EE">
        <w:rPr>
          <w:b/>
        </w:rPr>
        <w:t>$</w:t>
      </w:r>
      <w:r w:rsidR="005A46EE" w:rsidRPr="001E41F4">
        <w:rPr>
          <w:b/>
          <w:highlight w:val="yellow"/>
        </w:rPr>
        <w:t>2,750</w:t>
      </w:r>
      <w:r w:rsidR="006E4217">
        <w:rPr>
          <w:b/>
        </w:rPr>
        <w:t>)</w:t>
      </w:r>
      <w:r w:rsidRPr="00515AB1">
        <w:rPr>
          <w:b/>
        </w:rPr>
        <w:t xml:space="preserve"> include:</w:t>
      </w:r>
    </w:p>
    <w:p w:rsidR="00892388" w:rsidRDefault="00892388" w:rsidP="0089238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Airfare</w:t>
      </w:r>
      <w:r w:rsidR="005A46EE">
        <w:rPr>
          <w:b/>
        </w:rPr>
        <w:t xml:space="preserve"> ($1,2</w:t>
      </w:r>
      <w:r w:rsidR="00557F37">
        <w:rPr>
          <w:b/>
        </w:rPr>
        <w:t>00)</w:t>
      </w:r>
    </w:p>
    <w:p w:rsidR="00892388" w:rsidRDefault="00557F37" w:rsidP="0089238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Food ($ 450 ($15/day = $3 + $5 + $7</w:t>
      </w:r>
      <w:r w:rsidR="00892388">
        <w:rPr>
          <w:b/>
        </w:rPr>
        <w:t>))</w:t>
      </w:r>
    </w:p>
    <w:p w:rsidR="00892388" w:rsidRDefault="00E16E36" w:rsidP="0089238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Transportation from and to Kansai International Airport ($70 = $35 x 2)</w:t>
      </w:r>
    </w:p>
    <w:p w:rsidR="000C5C5A" w:rsidRDefault="00892388" w:rsidP="000C5C5A">
      <w:pPr>
        <w:pStyle w:val="ListParagraph"/>
        <w:numPr>
          <w:ilvl w:val="0"/>
          <w:numId w:val="6"/>
        </w:numPr>
        <w:rPr>
          <w:b/>
        </w:rPr>
      </w:pPr>
      <w:r w:rsidRPr="000C5C5A">
        <w:rPr>
          <w:b/>
        </w:rPr>
        <w:t>Personal expenses such as souvenir</w:t>
      </w:r>
      <w:r w:rsidR="00347B76">
        <w:rPr>
          <w:b/>
        </w:rPr>
        <w:t>…</w:t>
      </w:r>
      <w:r w:rsidR="003B006C">
        <w:rPr>
          <w:b/>
        </w:rPr>
        <w:t xml:space="preserve"> (</w:t>
      </w:r>
      <w:proofErr w:type="gramStart"/>
      <w:r w:rsidR="003B006C">
        <w:rPr>
          <w:b/>
        </w:rPr>
        <w:t>estimated</w:t>
      </w:r>
      <w:proofErr w:type="gramEnd"/>
      <w:r w:rsidR="003B006C">
        <w:rPr>
          <w:b/>
        </w:rPr>
        <w:t xml:space="preserve"> with $1 = ¥102</w:t>
      </w:r>
      <w:r w:rsidR="005A46EE">
        <w:rPr>
          <w:b/>
        </w:rPr>
        <w:t>).</w:t>
      </w:r>
    </w:p>
    <w:sectPr w:rsidR="000C5C5A" w:rsidSect="003827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7D" w:rsidRDefault="0006047D" w:rsidP="0006047D">
      <w:pPr>
        <w:spacing w:after="0" w:line="240" w:lineRule="auto"/>
      </w:pPr>
      <w:r>
        <w:separator/>
      </w:r>
    </w:p>
  </w:endnote>
  <w:endnote w:type="continuationSeparator" w:id="0">
    <w:p w:rsidR="0006047D" w:rsidRDefault="0006047D" w:rsidP="000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D" w:rsidRDefault="00060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450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47D" w:rsidRDefault="00060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C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47D" w:rsidRDefault="000604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D" w:rsidRDefault="0006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7D" w:rsidRDefault="0006047D" w:rsidP="0006047D">
      <w:pPr>
        <w:spacing w:after="0" w:line="240" w:lineRule="auto"/>
      </w:pPr>
      <w:r>
        <w:separator/>
      </w:r>
    </w:p>
  </w:footnote>
  <w:footnote w:type="continuationSeparator" w:id="0">
    <w:p w:rsidR="0006047D" w:rsidRDefault="0006047D" w:rsidP="0006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D" w:rsidRDefault="000604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D" w:rsidRDefault="000604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D" w:rsidRDefault="00060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353"/>
    <w:multiLevelType w:val="hybridMultilevel"/>
    <w:tmpl w:val="DA34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1F46"/>
    <w:multiLevelType w:val="hybridMultilevel"/>
    <w:tmpl w:val="7DA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4DF0"/>
    <w:multiLevelType w:val="hybridMultilevel"/>
    <w:tmpl w:val="5342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091"/>
    <w:multiLevelType w:val="hybridMultilevel"/>
    <w:tmpl w:val="85F4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A05"/>
    <w:multiLevelType w:val="hybridMultilevel"/>
    <w:tmpl w:val="68981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5F04"/>
    <w:multiLevelType w:val="hybridMultilevel"/>
    <w:tmpl w:val="AAC0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582C"/>
    <w:multiLevelType w:val="hybridMultilevel"/>
    <w:tmpl w:val="C6EC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08D3"/>
    <w:multiLevelType w:val="hybridMultilevel"/>
    <w:tmpl w:val="8CFA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53D7"/>
    <w:multiLevelType w:val="hybridMultilevel"/>
    <w:tmpl w:val="5726B366"/>
    <w:lvl w:ilvl="0" w:tplc="7BB44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B4609"/>
    <w:multiLevelType w:val="hybridMultilevel"/>
    <w:tmpl w:val="1F2A0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zEzMzU1MLUwsDRT0lEKTi0uzszPAykwrAUAov3X0CwAAAA="/>
  </w:docVars>
  <w:rsids>
    <w:rsidRoot w:val="007A2991"/>
    <w:rsid w:val="00006CAC"/>
    <w:rsid w:val="00040278"/>
    <w:rsid w:val="00051B81"/>
    <w:rsid w:val="0006047D"/>
    <w:rsid w:val="000605CD"/>
    <w:rsid w:val="00066D01"/>
    <w:rsid w:val="00086955"/>
    <w:rsid w:val="000C5C5A"/>
    <w:rsid w:val="000D63F4"/>
    <w:rsid w:val="000E001C"/>
    <w:rsid w:val="000E2F23"/>
    <w:rsid w:val="000E5CFC"/>
    <w:rsid w:val="000E7CAF"/>
    <w:rsid w:val="000F1221"/>
    <w:rsid w:val="000F3CF9"/>
    <w:rsid w:val="000F43CD"/>
    <w:rsid w:val="001000BF"/>
    <w:rsid w:val="00102D4F"/>
    <w:rsid w:val="00111A68"/>
    <w:rsid w:val="001179D9"/>
    <w:rsid w:val="00117AAA"/>
    <w:rsid w:val="00152A15"/>
    <w:rsid w:val="0015463F"/>
    <w:rsid w:val="0016111A"/>
    <w:rsid w:val="0017179A"/>
    <w:rsid w:val="00173730"/>
    <w:rsid w:val="001854AE"/>
    <w:rsid w:val="00190B63"/>
    <w:rsid w:val="00192D90"/>
    <w:rsid w:val="001B5557"/>
    <w:rsid w:val="001C3EF0"/>
    <w:rsid w:val="001C7B8D"/>
    <w:rsid w:val="001D4611"/>
    <w:rsid w:val="001E41F4"/>
    <w:rsid w:val="001E6CBB"/>
    <w:rsid w:val="002010E9"/>
    <w:rsid w:val="00217052"/>
    <w:rsid w:val="0022446E"/>
    <w:rsid w:val="00235C71"/>
    <w:rsid w:val="0025165C"/>
    <w:rsid w:val="00270426"/>
    <w:rsid w:val="00273C45"/>
    <w:rsid w:val="002762D0"/>
    <w:rsid w:val="002A03E1"/>
    <w:rsid w:val="002A0A40"/>
    <w:rsid w:val="002A652B"/>
    <w:rsid w:val="002B0DD3"/>
    <w:rsid w:val="002B1DA8"/>
    <w:rsid w:val="002C50E2"/>
    <w:rsid w:val="003037CD"/>
    <w:rsid w:val="00303993"/>
    <w:rsid w:val="0030492D"/>
    <w:rsid w:val="00315FCE"/>
    <w:rsid w:val="00347B76"/>
    <w:rsid w:val="003539CF"/>
    <w:rsid w:val="00365F4F"/>
    <w:rsid w:val="0037561A"/>
    <w:rsid w:val="003827E5"/>
    <w:rsid w:val="00397132"/>
    <w:rsid w:val="003A0C09"/>
    <w:rsid w:val="003A1E73"/>
    <w:rsid w:val="003B006C"/>
    <w:rsid w:val="003B0439"/>
    <w:rsid w:val="003B34B5"/>
    <w:rsid w:val="003B4054"/>
    <w:rsid w:val="003C35A7"/>
    <w:rsid w:val="004064D7"/>
    <w:rsid w:val="00422E62"/>
    <w:rsid w:val="00433FC6"/>
    <w:rsid w:val="00436C8E"/>
    <w:rsid w:val="00475C46"/>
    <w:rsid w:val="00476A35"/>
    <w:rsid w:val="004909E2"/>
    <w:rsid w:val="00494845"/>
    <w:rsid w:val="00497E24"/>
    <w:rsid w:val="004C7498"/>
    <w:rsid w:val="004D23EE"/>
    <w:rsid w:val="004E4A09"/>
    <w:rsid w:val="004E74E5"/>
    <w:rsid w:val="00505585"/>
    <w:rsid w:val="00515AB1"/>
    <w:rsid w:val="00525ADB"/>
    <w:rsid w:val="00526ED9"/>
    <w:rsid w:val="005371B0"/>
    <w:rsid w:val="00537DAA"/>
    <w:rsid w:val="00545596"/>
    <w:rsid w:val="00546E8B"/>
    <w:rsid w:val="005520BD"/>
    <w:rsid w:val="00556177"/>
    <w:rsid w:val="00557F37"/>
    <w:rsid w:val="0057069C"/>
    <w:rsid w:val="00571889"/>
    <w:rsid w:val="005927DF"/>
    <w:rsid w:val="005A46EE"/>
    <w:rsid w:val="005E3CD3"/>
    <w:rsid w:val="005F0692"/>
    <w:rsid w:val="005F2AC7"/>
    <w:rsid w:val="00616873"/>
    <w:rsid w:val="00620B88"/>
    <w:rsid w:val="00622C7B"/>
    <w:rsid w:val="006673BD"/>
    <w:rsid w:val="00676233"/>
    <w:rsid w:val="00683F56"/>
    <w:rsid w:val="00692C8C"/>
    <w:rsid w:val="006B4737"/>
    <w:rsid w:val="006C3938"/>
    <w:rsid w:val="006D16B3"/>
    <w:rsid w:val="006D3887"/>
    <w:rsid w:val="006E0702"/>
    <w:rsid w:val="006E4217"/>
    <w:rsid w:val="006F11B0"/>
    <w:rsid w:val="006F509E"/>
    <w:rsid w:val="006F770E"/>
    <w:rsid w:val="00705EF0"/>
    <w:rsid w:val="00717AB4"/>
    <w:rsid w:val="00720C0A"/>
    <w:rsid w:val="00754AD6"/>
    <w:rsid w:val="00755A95"/>
    <w:rsid w:val="0077580C"/>
    <w:rsid w:val="007825D5"/>
    <w:rsid w:val="00790E84"/>
    <w:rsid w:val="007921AD"/>
    <w:rsid w:val="007A2991"/>
    <w:rsid w:val="007D4692"/>
    <w:rsid w:val="007D4947"/>
    <w:rsid w:val="007D5934"/>
    <w:rsid w:val="007E206C"/>
    <w:rsid w:val="007F1BD0"/>
    <w:rsid w:val="00827357"/>
    <w:rsid w:val="008436FC"/>
    <w:rsid w:val="008502A6"/>
    <w:rsid w:val="0085326E"/>
    <w:rsid w:val="00890522"/>
    <w:rsid w:val="00892388"/>
    <w:rsid w:val="008934E8"/>
    <w:rsid w:val="00894AFC"/>
    <w:rsid w:val="008B022C"/>
    <w:rsid w:val="008B6169"/>
    <w:rsid w:val="008F6943"/>
    <w:rsid w:val="00912442"/>
    <w:rsid w:val="009257AA"/>
    <w:rsid w:val="00941442"/>
    <w:rsid w:val="00942E75"/>
    <w:rsid w:val="00957229"/>
    <w:rsid w:val="00964EE3"/>
    <w:rsid w:val="00976294"/>
    <w:rsid w:val="00980682"/>
    <w:rsid w:val="0099052B"/>
    <w:rsid w:val="009B2C4D"/>
    <w:rsid w:val="009B5247"/>
    <w:rsid w:val="009C7FD3"/>
    <w:rsid w:val="009E2783"/>
    <w:rsid w:val="00A20B23"/>
    <w:rsid w:val="00A22263"/>
    <w:rsid w:val="00A27FDB"/>
    <w:rsid w:val="00A3143E"/>
    <w:rsid w:val="00A42169"/>
    <w:rsid w:val="00A45D12"/>
    <w:rsid w:val="00A71275"/>
    <w:rsid w:val="00A80BA8"/>
    <w:rsid w:val="00A80F62"/>
    <w:rsid w:val="00AA6AD0"/>
    <w:rsid w:val="00AB1147"/>
    <w:rsid w:val="00AB1EBD"/>
    <w:rsid w:val="00AB380C"/>
    <w:rsid w:val="00AD3DDA"/>
    <w:rsid w:val="00AD46A3"/>
    <w:rsid w:val="00AE15AB"/>
    <w:rsid w:val="00AE1ACE"/>
    <w:rsid w:val="00AE2D8C"/>
    <w:rsid w:val="00AF6C85"/>
    <w:rsid w:val="00B02845"/>
    <w:rsid w:val="00B41AE4"/>
    <w:rsid w:val="00B5497C"/>
    <w:rsid w:val="00B65261"/>
    <w:rsid w:val="00B70F03"/>
    <w:rsid w:val="00B764C8"/>
    <w:rsid w:val="00B774F3"/>
    <w:rsid w:val="00BB126A"/>
    <w:rsid w:val="00BC201E"/>
    <w:rsid w:val="00BF51F3"/>
    <w:rsid w:val="00BF6776"/>
    <w:rsid w:val="00C041E1"/>
    <w:rsid w:val="00C101E0"/>
    <w:rsid w:val="00C24CB4"/>
    <w:rsid w:val="00C5553E"/>
    <w:rsid w:val="00C57FEB"/>
    <w:rsid w:val="00C60548"/>
    <w:rsid w:val="00C65596"/>
    <w:rsid w:val="00C8179D"/>
    <w:rsid w:val="00C90889"/>
    <w:rsid w:val="00C94BDD"/>
    <w:rsid w:val="00CE28A5"/>
    <w:rsid w:val="00CE71C0"/>
    <w:rsid w:val="00CF1328"/>
    <w:rsid w:val="00D06A47"/>
    <w:rsid w:val="00D224A8"/>
    <w:rsid w:val="00D33F74"/>
    <w:rsid w:val="00D57238"/>
    <w:rsid w:val="00D60B42"/>
    <w:rsid w:val="00D61901"/>
    <w:rsid w:val="00D72D47"/>
    <w:rsid w:val="00D804CA"/>
    <w:rsid w:val="00D844A2"/>
    <w:rsid w:val="00D94E25"/>
    <w:rsid w:val="00D96B71"/>
    <w:rsid w:val="00DB068D"/>
    <w:rsid w:val="00DB14F5"/>
    <w:rsid w:val="00DB4E5F"/>
    <w:rsid w:val="00DB66E2"/>
    <w:rsid w:val="00DD0A6F"/>
    <w:rsid w:val="00DD4CC6"/>
    <w:rsid w:val="00DF21BB"/>
    <w:rsid w:val="00DF30AE"/>
    <w:rsid w:val="00E074EE"/>
    <w:rsid w:val="00E075A6"/>
    <w:rsid w:val="00E1332D"/>
    <w:rsid w:val="00E15419"/>
    <w:rsid w:val="00E16E36"/>
    <w:rsid w:val="00E23AC4"/>
    <w:rsid w:val="00E27348"/>
    <w:rsid w:val="00E35BC9"/>
    <w:rsid w:val="00E731FB"/>
    <w:rsid w:val="00E76059"/>
    <w:rsid w:val="00EC1109"/>
    <w:rsid w:val="00ED3A72"/>
    <w:rsid w:val="00EE1EB4"/>
    <w:rsid w:val="00EE28D3"/>
    <w:rsid w:val="00F036C0"/>
    <w:rsid w:val="00F0721D"/>
    <w:rsid w:val="00F16454"/>
    <w:rsid w:val="00F16F13"/>
    <w:rsid w:val="00F320E9"/>
    <w:rsid w:val="00F431A8"/>
    <w:rsid w:val="00F475BB"/>
    <w:rsid w:val="00F54E26"/>
    <w:rsid w:val="00F76CD1"/>
    <w:rsid w:val="00F872E3"/>
    <w:rsid w:val="00F87E96"/>
    <w:rsid w:val="00FC6FB6"/>
    <w:rsid w:val="00FD3B86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2D5C5-214B-41AF-A902-E7547751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57F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1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7D"/>
  </w:style>
  <w:style w:type="paragraph" w:styleId="Footer">
    <w:name w:val="footer"/>
    <w:basedOn w:val="Normal"/>
    <w:link w:val="FooterChar"/>
    <w:uiPriority w:val="99"/>
    <w:unhideWhenUsed/>
    <w:rsid w:val="0006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7D"/>
  </w:style>
  <w:style w:type="character" w:customStyle="1" w:styleId="tgc">
    <w:name w:val="_tgc"/>
    <w:basedOn w:val="DefaultParagraphFont"/>
    <w:rsid w:val="00E76059"/>
  </w:style>
  <w:style w:type="character" w:styleId="FollowedHyperlink">
    <w:name w:val="FollowedHyperlink"/>
    <w:basedOn w:val="DefaultParagraphFont"/>
    <w:uiPriority w:val="99"/>
    <w:semiHidden/>
    <w:unhideWhenUsed/>
    <w:rsid w:val="00006CAC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8F6943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43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4E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.ac.jp/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n.kufs.ac.jp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fu-net.ed.jp/kyoka/eigo/CommunicativeEnglish/04-25Teaching%20Resources%20and%20Link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wikee.com/blog/tips-for-teaching-english-to-japanese-stude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fugu.com/japan/jet-program-teaching-resour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Hara, Masahiro</dc:creator>
  <cp:lastModifiedBy>Hara, Masahiro</cp:lastModifiedBy>
  <cp:revision>2</cp:revision>
  <cp:lastPrinted>2018-09-23T18:54:00Z</cp:lastPrinted>
  <dcterms:created xsi:type="dcterms:W3CDTF">2019-11-01T00:10:00Z</dcterms:created>
  <dcterms:modified xsi:type="dcterms:W3CDTF">2019-11-01T00:10:00Z</dcterms:modified>
</cp:coreProperties>
</file>